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F6C" w:rsidRDefault="00FD4291" w:rsidP="00721F6C">
      <w:pPr>
        <w:ind w:firstLine="567"/>
        <w:jc w:val="both"/>
        <w:rPr>
          <w:color w:val="000000"/>
        </w:rPr>
      </w:pPr>
      <w:r>
        <w:t>Администрация муниципального образования «Муниципальный округ Можгинский район Удмуртской Республики» извещает</w:t>
      </w:r>
      <w:r w:rsidRPr="00CB0B01">
        <w:t xml:space="preserve"> </w:t>
      </w:r>
      <w:r w:rsidR="00721F6C">
        <w:t>об открытом по составу участников аукционе</w:t>
      </w:r>
      <w:r w:rsidR="00721F6C" w:rsidRPr="00CB0B01">
        <w:t xml:space="preserve"> </w:t>
      </w:r>
      <w:r w:rsidR="00721F6C">
        <w:t xml:space="preserve">на право заключения договоров аренды </w:t>
      </w:r>
      <w:r w:rsidR="00721F6C" w:rsidRPr="00CB0B01">
        <w:t>земельн</w:t>
      </w:r>
      <w:r w:rsidR="00721F6C">
        <w:t>ых</w:t>
      </w:r>
      <w:r w:rsidR="00721F6C" w:rsidRPr="00CB0B01">
        <w:t xml:space="preserve"> </w:t>
      </w:r>
      <w:r w:rsidR="00721F6C" w:rsidRPr="003C5259">
        <w:t>участк</w:t>
      </w:r>
      <w:r w:rsidR="00721F6C">
        <w:t>ов из земель населенных пунктов</w:t>
      </w:r>
      <w:r w:rsidR="00721F6C" w:rsidRPr="003C5259">
        <w:t>, расположенн</w:t>
      </w:r>
      <w:r w:rsidR="00721F6C">
        <w:t xml:space="preserve">ых </w:t>
      </w:r>
      <w:r w:rsidR="00721F6C" w:rsidRPr="003C5259">
        <w:t>по адрес</w:t>
      </w:r>
      <w:r w:rsidR="00721F6C">
        <w:t>у:</w:t>
      </w:r>
      <w:r w:rsidR="00721F6C" w:rsidRPr="003C5259">
        <w:t xml:space="preserve"> </w:t>
      </w:r>
      <w:r w:rsidR="00721F6C" w:rsidRPr="00C806EB">
        <w:rPr>
          <w:color w:val="000000"/>
        </w:rPr>
        <w:t xml:space="preserve">Удмуртская Республика, </w:t>
      </w:r>
      <w:r w:rsidR="00721F6C">
        <w:rPr>
          <w:color w:val="000000"/>
        </w:rPr>
        <w:t xml:space="preserve">муниципальный округ </w:t>
      </w:r>
      <w:r w:rsidR="00721F6C" w:rsidRPr="00C806EB">
        <w:rPr>
          <w:color w:val="000000"/>
        </w:rPr>
        <w:t xml:space="preserve">Можгинский район, </w:t>
      </w:r>
      <w:r w:rsidR="00721F6C">
        <w:rPr>
          <w:color w:val="000000"/>
        </w:rPr>
        <w:t xml:space="preserve">село  Можга, улица Кинягильская, земельный участок 47; </w:t>
      </w:r>
      <w:r w:rsidR="00721F6C" w:rsidRPr="00C806EB">
        <w:rPr>
          <w:color w:val="000000"/>
        </w:rPr>
        <w:t xml:space="preserve">Удмуртская Республика, </w:t>
      </w:r>
      <w:r w:rsidR="00721F6C">
        <w:rPr>
          <w:color w:val="000000"/>
        </w:rPr>
        <w:t xml:space="preserve">муниципальный округ </w:t>
      </w:r>
      <w:r w:rsidR="00721F6C" w:rsidRPr="00C806EB">
        <w:rPr>
          <w:color w:val="000000"/>
        </w:rPr>
        <w:t xml:space="preserve">Можгинский район, </w:t>
      </w:r>
      <w:r w:rsidR="00721F6C">
        <w:rPr>
          <w:color w:val="000000"/>
        </w:rPr>
        <w:t xml:space="preserve">село  Можга, улица Кинягильская, земельный участок 49; </w:t>
      </w:r>
      <w:r w:rsidR="00721F6C" w:rsidRPr="003C5259">
        <w:t>(далее – аукцион, Документация об аукционе) разработана в соответствии с Земельным</w:t>
      </w:r>
      <w:r w:rsidR="00721F6C">
        <w:t xml:space="preserve"> кодексом Российской Федерации</w:t>
      </w:r>
      <w:r w:rsidR="00721F6C" w:rsidRPr="007710E2">
        <w:rPr>
          <w:color w:val="000000"/>
        </w:rPr>
        <w:t>.</w:t>
      </w:r>
    </w:p>
    <w:p w:rsidR="00721F6C" w:rsidRDefault="00721F6C" w:rsidP="00721F6C">
      <w:pPr>
        <w:ind w:firstLine="567"/>
        <w:jc w:val="both"/>
      </w:pPr>
      <w:r w:rsidRPr="009F6534">
        <w:rPr>
          <w:b/>
        </w:rPr>
        <w:t>Организатор аукциона</w:t>
      </w:r>
      <w:r>
        <w:rPr>
          <w:b/>
        </w:rPr>
        <w:t xml:space="preserve"> - </w:t>
      </w:r>
      <w:r w:rsidRPr="009F6534">
        <w:t>Администрация муниципального образования «</w:t>
      </w:r>
      <w:r>
        <w:t xml:space="preserve">Муниципальный округ </w:t>
      </w:r>
      <w:r w:rsidRPr="009F6534">
        <w:t>Можгинский район</w:t>
      </w:r>
      <w:r>
        <w:t xml:space="preserve"> Удмуртской Республики</w:t>
      </w:r>
      <w:r w:rsidRPr="009F6534">
        <w:t>»</w:t>
      </w:r>
      <w:r>
        <w:t>.</w:t>
      </w:r>
    </w:p>
    <w:p w:rsidR="00721F6C" w:rsidRDefault="00721F6C" w:rsidP="00721F6C">
      <w:pPr>
        <w:ind w:firstLine="567"/>
        <w:jc w:val="both"/>
      </w:pPr>
      <w:r>
        <w:rPr>
          <w:b/>
        </w:rPr>
        <w:t>Уполномоченный о</w:t>
      </w:r>
      <w:r w:rsidRPr="007F19B2">
        <w:rPr>
          <w:b/>
        </w:rPr>
        <w:t>рган, принявший решение о проведен</w:t>
      </w:r>
      <w:proofErr w:type="gramStart"/>
      <w:r w:rsidRPr="007F19B2">
        <w:rPr>
          <w:b/>
        </w:rPr>
        <w:t xml:space="preserve">ии </w:t>
      </w:r>
      <w:r>
        <w:rPr>
          <w:b/>
        </w:rPr>
        <w:t>а</w:t>
      </w:r>
      <w:r w:rsidRPr="007F19B2">
        <w:rPr>
          <w:b/>
        </w:rPr>
        <w:t>у</w:t>
      </w:r>
      <w:proofErr w:type="gramEnd"/>
      <w:r w:rsidRPr="007F19B2">
        <w:rPr>
          <w:b/>
        </w:rPr>
        <w:t>кциона</w:t>
      </w:r>
      <w:r>
        <w:rPr>
          <w:b/>
        </w:rPr>
        <w:t xml:space="preserve">, реквизиты решения о проведении аукциона - </w:t>
      </w:r>
      <w:r w:rsidRPr="00C806EB">
        <w:t>распоряжение Министерства имущественных отн</w:t>
      </w:r>
      <w:r>
        <w:t xml:space="preserve">ошений Удмуртской Республики </w:t>
      </w:r>
      <w:r w:rsidRPr="00FE7A0A">
        <w:t xml:space="preserve">от 30 июня 2025 года № </w:t>
      </w:r>
      <w:r>
        <w:t>581</w:t>
      </w:r>
      <w:r w:rsidRPr="00FE7A0A">
        <w:t>-р</w:t>
      </w:r>
      <w:r w:rsidRPr="00C806EB">
        <w:t xml:space="preserve"> «О проведении аукцион</w:t>
      </w:r>
      <w:r>
        <w:t>ов</w:t>
      </w:r>
      <w:r w:rsidRPr="00C806EB">
        <w:t xml:space="preserve"> </w:t>
      </w:r>
      <w:r>
        <w:t xml:space="preserve">на право заключения договоров аренды </w:t>
      </w:r>
      <w:r w:rsidRPr="00C806EB">
        <w:t>земельн</w:t>
      </w:r>
      <w:r>
        <w:t xml:space="preserve">ых </w:t>
      </w:r>
      <w:r w:rsidRPr="00C806EB">
        <w:t>участк</w:t>
      </w:r>
      <w:r>
        <w:t>ов</w:t>
      </w:r>
      <w:r w:rsidRPr="00C806EB">
        <w:t>, расположенн</w:t>
      </w:r>
      <w:r>
        <w:t>ых</w:t>
      </w:r>
      <w:r w:rsidRPr="00C806EB">
        <w:t xml:space="preserve"> в муниципальном образовании «Муниципальный округ Можгинский район Удмуртской Республики».</w:t>
      </w:r>
    </w:p>
    <w:p w:rsidR="00721F6C" w:rsidRDefault="00721F6C" w:rsidP="00721F6C">
      <w:pPr>
        <w:ind w:firstLine="567"/>
        <w:jc w:val="both"/>
      </w:pPr>
      <w:r w:rsidRPr="00DC3091">
        <w:rPr>
          <w:b/>
        </w:rPr>
        <w:t>Место проведения аукциона</w:t>
      </w:r>
      <w:r>
        <w:t xml:space="preserve"> - </w:t>
      </w:r>
      <w:r w:rsidRPr="001C45DF">
        <w:t>Удмуртская Республика, г</w:t>
      </w:r>
      <w:r>
        <w:t>ород</w:t>
      </w:r>
      <w:r w:rsidRPr="001C45DF">
        <w:t xml:space="preserve"> Можга, ул</w:t>
      </w:r>
      <w:r>
        <w:t>ица</w:t>
      </w:r>
      <w:r w:rsidRPr="001C45DF">
        <w:t xml:space="preserve"> Можгинская, д</w:t>
      </w:r>
      <w:r>
        <w:t>ом</w:t>
      </w:r>
      <w:r w:rsidRPr="001C45DF">
        <w:t xml:space="preserve"> 59, Администраци</w:t>
      </w:r>
      <w:r>
        <w:t>я</w:t>
      </w:r>
      <w:r w:rsidRPr="001C45DF">
        <w:t xml:space="preserve"> муниципального образования «</w:t>
      </w:r>
      <w:r>
        <w:t xml:space="preserve">Муниципальный округ </w:t>
      </w:r>
      <w:r w:rsidRPr="001C45DF">
        <w:t>Можгинский район</w:t>
      </w:r>
      <w:r>
        <w:t xml:space="preserve"> Удмуртской Республики</w:t>
      </w:r>
      <w:r w:rsidRPr="001C45DF">
        <w:t>»</w:t>
      </w:r>
      <w:r>
        <w:t xml:space="preserve">, </w:t>
      </w:r>
      <w:r w:rsidRPr="001C45DF">
        <w:t>кабинет 503</w:t>
      </w:r>
      <w:r>
        <w:t>.</w:t>
      </w:r>
    </w:p>
    <w:p w:rsidR="00721F6C" w:rsidRPr="004E6CF3" w:rsidRDefault="00721F6C" w:rsidP="00721F6C">
      <w:pPr>
        <w:pStyle w:val="a3"/>
        <w:spacing w:before="0" w:beforeAutospacing="0" w:after="0" w:afterAutospacing="0"/>
        <w:ind w:firstLine="567"/>
        <w:jc w:val="both"/>
        <w:rPr>
          <w:b/>
          <w:color w:val="000000"/>
        </w:rPr>
      </w:pPr>
      <w:r w:rsidRPr="0015048D">
        <w:rPr>
          <w:b/>
          <w:color w:val="000000"/>
        </w:rPr>
        <w:t xml:space="preserve">Дата и время проведения аукциона </w:t>
      </w:r>
      <w:r w:rsidRPr="00FC34EB">
        <w:rPr>
          <w:b/>
          <w:color w:val="000000"/>
        </w:rPr>
        <w:t xml:space="preserve">– </w:t>
      </w:r>
      <w:r w:rsidRPr="00FC34EB">
        <w:rPr>
          <w:color w:val="000000"/>
        </w:rPr>
        <w:t>28 августа 2025 года, 9</w:t>
      </w:r>
      <w:r w:rsidRPr="00BB74CC">
        <w:rPr>
          <w:color w:val="000000"/>
        </w:rPr>
        <w:t>-0</w:t>
      </w:r>
      <w:r w:rsidRPr="00FE079A">
        <w:rPr>
          <w:color w:val="000000"/>
        </w:rPr>
        <w:t>0 ч.</w:t>
      </w:r>
    </w:p>
    <w:p w:rsidR="00721F6C" w:rsidRDefault="00721F6C" w:rsidP="00721F6C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 w:rsidRPr="00A65B67">
        <w:rPr>
          <w:b/>
          <w:color w:val="000000"/>
        </w:rPr>
        <w:t>Порядок проведения аукциона</w:t>
      </w:r>
      <w:r w:rsidRPr="00A65B67">
        <w:rPr>
          <w:color w:val="000000"/>
        </w:rPr>
        <w:t xml:space="preserve"> установлен статьей 39.12 Земельного кодекса Российской Федерации и Положением о комиссии по проведению аукционов по продаже земельных участков, находящихся в государственной или муниципальной собственности, или аукционов на право заключения договоров аренды земельных участков, находящихся в государственной или муниципальной собственности на территории Можгинского района, утвержденном постановлением Администрации муниципального образования </w:t>
      </w:r>
      <w:r w:rsidRPr="00FC6384">
        <w:rPr>
          <w:color w:val="000000"/>
        </w:rPr>
        <w:t xml:space="preserve">«Муниципальный округ Можгинский район Удмуртской Республики» от </w:t>
      </w:r>
      <w:r>
        <w:rPr>
          <w:color w:val="000000"/>
        </w:rPr>
        <w:t>05</w:t>
      </w:r>
      <w:r w:rsidRPr="00FC6384">
        <w:rPr>
          <w:color w:val="000000"/>
        </w:rPr>
        <w:t xml:space="preserve"> </w:t>
      </w:r>
      <w:r>
        <w:rPr>
          <w:color w:val="000000"/>
        </w:rPr>
        <w:t>марта</w:t>
      </w:r>
      <w:proofErr w:type="gramEnd"/>
      <w:r w:rsidRPr="00FC6384">
        <w:rPr>
          <w:color w:val="000000"/>
        </w:rPr>
        <w:t xml:space="preserve"> 202</w:t>
      </w:r>
      <w:r>
        <w:rPr>
          <w:color w:val="000000"/>
        </w:rPr>
        <w:t>5</w:t>
      </w:r>
      <w:r w:rsidRPr="00FC6384">
        <w:rPr>
          <w:color w:val="000000"/>
        </w:rPr>
        <w:t xml:space="preserve"> года № </w:t>
      </w:r>
      <w:r>
        <w:rPr>
          <w:color w:val="000000"/>
        </w:rPr>
        <w:t>165</w:t>
      </w:r>
      <w:r w:rsidRPr="00FC6384">
        <w:rPr>
          <w:color w:val="000000"/>
        </w:rPr>
        <w:t>.</w:t>
      </w:r>
    </w:p>
    <w:p w:rsidR="00721F6C" w:rsidRDefault="00721F6C" w:rsidP="00721F6C">
      <w:pPr>
        <w:ind w:firstLine="567"/>
        <w:jc w:val="both"/>
        <w:rPr>
          <w:color w:val="000000"/>
        </w:rPr>
      </w:pPr>
      <w:r w:rsidRPr="00A65B67">
        <w:rPr>
          <w:b/>
          <w:color w:val="000000"/>
        </w:rPr>
        <w:t>Предмет аукциона</w:t>
      </w:r>
      <w:r w:rsidRPr="00A65B67">
        <w:rPr>
          <w:color w:val="000000"/>
        </w:rPr>
        <w:t xml:space="preserve"> - </w:t>
      </w:r>
      <w:r>
        <w:rPr>
          <w:color w:val="000000"/>
        </w:rPr>
        <w:t>право заключения договора аренды</w:t>
      </w:r>
      <w:r w:rsidRPr="00A65B67">
        <w:rPr>
          <w:color w:val="000000"/>
        </w:rPr>
        <w:t xml:space="preserve"> земельн</w:t>
      </w:r>
      <w:r>
        <w:rPr>
          <w:color w:val="000000"/>
        </w:rPr>
        <w:t>ого участка</w:t>
      </w:r>
      <w:r w:rsidRPr="00A65B67">
        <w:rPr>
          <w:color w:val="000000"/>
        </w:rPr>
        <w:t xml:space="preserve">, </w:t>
      </w:r>
      <w:r>
        <w:rPr>
          <w:color w:val="000000"/>
        </w:rPr>
        <w:t>находящегося в государственной неразграниченной собственности.</w:t>
      </w:r>
    </w:p>
    <w:p w:rsidR="00721F6C" w:rsidRPr="0075644D" w:rsidRDefault="00721F6C" w:rsidP="00721F6C">
      <w:pPr>
        <w:ind w:firstLine="567"/>
        <w:jc w:val="both"/>
        <w:rPr>
          <w:b/>
          <w:color w:val="000000"/>
          <w:u w:val="single"/>
        </w:rPr>
      </w:pPr>
      <w:r w:rsidRPr="0075644D">
        <w:rPr>
          <w:b/>
          <w:color w:val="000000"/>
          <w:u w:val="single"/>
        </w:rPr>
        <w:t>Лот № 1:</w:t>
      </w:r>
    </w:p>
    <w:p w:rsidR="00721F6C" w:rsidRDefault="00721F6C" w:rsidP="00721F6C">
      <w:pPr>
        <w:pStyle w:val="preforma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Адрес земельного участка</w:t>
      </w:r>
      <w:r w:rsidRPr="00A65B67">
        <w:rPr>
          <w:color w:val="000000"/>
        </w:rPr>
        <w:t>:</w:t>
      </w:r>
      <w:r w:rsidRPr="002239E2">
        <w:rPr>
          <w:color w:val="000000"/>
        </w:rPr>
        <w:t xml:space="preserve"> </w:t>
      </w:r>
      <w:r w:rsidRPr="00C806EB">
        <w:rPr>
          <w:color w:val="000000"/>
        </w:rPr>
        <w:t xml:space="preserve">Удмуртская Республика, </w:t>
      </w:r>
      <w:r>
        <w:rPr>
          <w:color w:val="000000"/>
        </w:rPr>
        <w:t xml:space="preserve">муниципальный округ </w:t>
      </w:r>
      <w:r w:rsidRPr="00C806EB">
        <w:rPr>
          <w:color w:val="000000"/>
        </w:rPr>
        <w:t xml:space="preserve">Можгинский район, </w:t>
      </w:r>
      <w:r>
        <w:rPr>
          <w:color w:val="000000"/>
        </w:rPr>
        <w:t>село Можга, улица Кинягильская, земельный участок 47.</w:t>
      </w:r>
    </w:p>
    <w:p w:rsidR="00721F6C" w:rsidRPr="00A65B67" w:rsidRDefault="00721F6C" w:rsidP="00721F6C">
      <w:pPr>
        <w:pStyle w:val="preforma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Площадь: 1624 кв.м.</w:t>
      </w:r>
    </w:p>
    <w:p w:rsidR="00721F6C" w:rsidRPr="00A65B67" w:rsidRDefault="00721F6C" w:rsidP="00721F6C">
      <w:pPr>
        <w:ind w:firstLine="567"/>
        <w:jc w:val="both"/>
        <w:rPr>
          <w:color w:val="000000"/>
        </w:rPr>
      </w:pPr>
      <w:r>
        <w:rPr>
          <w:color w:val="000000"/>
        </w:rPr>
        <w:t>Кадастровый номер: 18:17:126010:788.</w:t>
      </w:r>
    </w:p>
    <w:p w:rsidR="00721F6C" w:rsidRDefault="00721F6C" w:rsidP="00721F6C">
      <w:pPr>
        <w:pStyle w:val="preforma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К</w:t>
      </w:r>
      <w:r w:rsidRPr="00A65B67">
        <w:rPr>
          <w:color w:val="000000"/>
        </w:rPr>
        <w:t xml:space="preserve">атегория земель: земли </w:t>
      </w:r>
      <w:r>
        <w:rPr>
          <w:color w:val="000000"/>
        </w:rPr>
        <w:t>населенных пунктов.</w:t>
      </w:r>
    </w:p>
    <w:p w:rsidR="00721F6C" w:rsidRDefault="00721F6C" w:rsidP="00721F6C">
      <w:pPr>
        <w:pStyle w:val="preformat"/>
        <w:spacing w:before="0" w:beforeAutospacing="0" w:after="0" w:afterAutospacing="0"/>
        <w:ind w:firstLine="567"/>
        <w:jc w:val="both"/>
        <w:rPr>
          <w:color w:val="000000"/>
        </w:rPr>
      </w:pPr>
      <w:r w:rsidRPr="00525FE5">
        <w:rPr>
          <w:color w:val="000000"/>
        </w:rPr>
        <w:t xml:space="preserve">Территориальная зона: </w:t>
      </w:r>
      <w:r>
        <w:rPr>
          <w:color w:val="000000"/>
        </w:rPr>
        <w:t>жилая зона</w:t>
      </w:r>
      <w:r w:rsidRPr="00FA434D">
        <w:rPr>
          <w:color w:val="000000"/>
        </w:rPr>
        <w:t xml:space="preserve"> </w:t>
      </w:r>
      <w:r w:rsidRPr="00525FE5">
        <w:rPr>
          <w:color w:val="000000"/>
        </w:rPr>
        <w:t>(Ж)</w:t>
      </w:r>
      <w:r>
        <w:rPr>
          <w:color w:val="000000"/>
        </w:rPr>
        <w:t>.</w:t>
      </w:r>
    </w:p>
    <w:p w:rsidR="00721F6C" w:rsidRDefault="00721F6C" w:rsidP="00721F6C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</w:rPr>
        <w:t>Вид р</w:t>
      </w:r>
      <w:r w:rsidRPr="00A65B67">
        <w:rPr>
          <w:color w:val="000000"/>
        </w:rPr>
        <w:t>азрешенно</w:t>
      </w:r>
      <w:r>
        <w:rPr>
          <w:color w:val="000000"/>
        </w:rPr>
        <w:t>го</w:t>
      </w:r>
      <w:r w:rsidRPr="00A65B67">
        <w:rPr>
          <w:color w:val="000000"/>
        </w:rPr>
        <w:t xml:space="preserve"> использовани</w:t>
      </w:r>
      <w:r>
        <w:rPr>
          <w:color w:val="000000"/>
        </w:rPr>
        <w:t>я</w:t>
      </w:r>
      <w:r w:rsidRPr="00A65B67">
        <w:rPr>
          <w:color w:val="000000"/>
        </w:rPr>
        <w:t xml:space="preserve">: </w:t>
      </w:r>
      <w:r>
        <w:t>Для индивидуального жилищного строительства (код 2.1) – размещение жилого дома.</w:t>
      </w:r>
      <w:r w:rsidRPr="00217508">
        <w:t xml:space="preserve"> </w:t>
      </w:r>
    </w:p>
    <w:p w:rsidR="00721F6C" w:rsidRPr="00290322" w:rsidRDefault="00721F6C" w:rsidP="00721F6C">
      <w:pPr>
        <w:pStyle w:val="preformat"/>
        <w:spacing w:before="0" w:beforeAutospacing="0" w:after="0" w:afterAutospacing="0"/>
        <w:ind w:firstLine="567"/>
        <w:jc w:val="both"/>
      </w:pPr>
      <w:r>
        <w:t>Ограничений использования и обременений земельного участка не установлено.</w:t>
      </w:r>
    </w:p>
    <w:p w:rsidR="00721F6C" w:rsidRDefault="00721F6C" w:rsidP="00721F6C">
      <w:pPr>
        <w:widowControl w:val="0"/>
        <w:suppressAutoHyphens/>
        <w:ind w:firstLine="567"/>
        <w:jc w:val="both"/>
        <w:rPr>
          <w:color w:val="000000"/>
        </w:rPr>
      </w:pPr>
      <w:r>
        <w:rPr>
          <w:color w:val="000000"/>
        </w:rPr>
        <w:t>Срок аренды земельного участка: 20 лет.</w:t>
      </w:r>
    </w:p>
    <w:p w:rsidR="00721F6C" w:rsidRDefault="00721F6C" w:rsidP="00721F6C">
      <w:pPr>
        <w:widowControl w:val="0"/>
        <w:suppressAutoHyphens/>
        <w:ind w:firstLine="567"/>
        <w:jc w:val="both"/>
        <w:rPr>
          <w:color w:val="000000"/>
        </w:rPr>
      </w:pPr>
      <w:r>
        <w:rPr>
          <w:color w:val="000000"/>
        </w:rPr>
        <w:t>Дата размещения извещения о предоставлении земельного участка для индивидуального жилищного строительства в соответствии с подпунктом 1 пункта 1 статьи 39.18 Земельного кодекса Российской Федерации: 04.10.2024 года.</w:t>
      </w:r>
    </w:p>
    <w:p w:rsidR="00721F6C" w:rsidRPr="0075644D" w:rsidRDefault="00721F6C" w:rsidP="00721F6C">
      <w:pPr>
        <w:ind w:firstLine="567"/>
        <w:jc w:val="both"/>
        <w:rPr>
          <w:b/>
          <w:color w:val="000000"/>
          <w:u w:val="single"/>
        </w:rPr>
      </w:pPr>
      <w:r w:rsidRPr="0075644D">
        <w:rPr>
          <w:b/>
          <w:color w:val="000000"/>
          <w:u w:val="single"/>
        </w:rPr>
        <w:t xml:space="preserve">Лот № </w:t>
      </w:r>
      <w:r>
        <w:rPr>
          <w:b/>
          <w:color w:val="000000"/>
          <w:u w:val="single"/>
        </w:rPr>
        <w:t>2</w:t>
      </w:r>
      <w:r w:rsidRPr="0075644D">
        <w:rPr>
          <w:b/>
          <w:color w:val="000000"/>
          <w:u w:val="single"/>
        </w:rPr>
        <w:t>:</w:t>
      </w:r>
    </w:p>
    <w:p w:rsidR="00721F6C" w:rsidRDefault="00721F6C" w:rsidP="00721F6C">
      <w:pPr>
        <w:pStyle w:val="preforma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Адрес земельного участка</w:t>
      </w:r>
      <w:r w:rsidRPr="00A65B67">
        <w:rPr>
          <w:color w:val="000000"/>
        </w:rPr>
        <w:t>:</w:t>
      </w:r>
      <w:r w:rsidRPr="002239E2">
        <w:rPr>
          <w:color w:val="000000"/>
        </w:rPr>
        <w:t xml:space="preserve"> </w:t>
      </w:r>
      <w:r w:rsidRPr="00C806EB">
        <w:rPr>
          <w:color w:val="000000"/>
        </w:rPr>
        <w:t xml:space="preserve">Удмуртская Республика, </w:t>
      </w:r>
      <w:r>
        <w:rPr>
          <w:color w:val="000000"/>
        </w:rPr>
        <w:t xml:space="preserve">муниципальный округ </w:t>
      </w:r>
      <w:r w:rsidRPr="00C806EB">
        <w:rPr>
          <w:color w:val="000000"/>
        </w:rPr>
        <w:t xml:space="preserve">Можгинский район, </w:t>
      </w:r>
      <w:r>
        <w:rPr>
          <w:color w:val="000000"/>
        </w:rPr>
        <w:t>село Можга, улица Кинягильская, земельный участок 49.</w:t>
      </w:r>
    </w:p>
    <w:p w:rsidR="00721F6C" w:rsidRPr="00A65B67" w:rsidRDefault="00721F6C" w:rsidP="00721F6C">
      <w:pPr>
        <w:pStyle w:val="preforma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Площадь: 1600 кв.м.</w:t>
      </w:r>
    </w:p>
    <w:p w:rsidR="00721F6C" w:rsidRPr="00A65B67" w:rsidRDefault="00721F6C" w:rsidP="00721F6C">
      <w:pPr>
        <w:ind w:firstLine="567"/>
        <w:jc w:val="both"/>
        <w:rPr>
          <w:color w:val="000000"/>
        </w:rPr>
      </w:pPr>
      <w:r>
        <w:rPr>
          <w:color w:val="000000"/>
        </w:rPr>
        <w:t>Кадастровый номер: 18:17:126010:787.</w:t>
      </w:r>
    </w:p>
    <w:p w:rsidR="00721F6C" w:rsidRDefault="00721F6C" w:rsidP="00721F6C">
      <w:pPr>
        <w:pStyle w:val="preforma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К</w:t>
      </w:r>
      <w:r w:rsidRPr="00A65B67">
        <w:rPr>
          <w:color w:val="000000"/>
        </w:rPr>
        <w:t xml:space="preserve">атегория земель: земли </w:t>
      </w:r>
      <w:r>
        <w:rPr>
          <w:color w:val="000000"/>
        </w:rPr>
        <w:t>населенных пунктов.</w:t>
      </w:r>
    </w:p>
    <w:p w:rsidR="00721F6C" w:rsidRDefault="00721F6C" w:rsidP="00721F6C">
      <w:pPr>
        <w:pStyle w:val="preformat"/>
        <w:spacing w:before="0" w:beforeAutospacing="0" w:after="0" w:afterAutospacing="0"/>
        <w:ind w:firstLine="567"/>
        <w:jc w:val="both"/>
        <w:rPr>
          <w:color w:val="000000"/>
        </w:rPr>
      </w:pPr>
      <w:r w:rsidRPr="00525FE5">
        <w:rPr>
          <w:color w:val="000000"/>
        </w:rPr>
        <w:t xml:space="preserve">Территориальная зона: </w:t>
      </w:r>
      <w:r>
        <w:rPr>
          <w:color w:val="000000"/>
        </w:rPr>
        <w:t>жилая зона</w:t>
      </w:r>
      <w:r w:rsidRPr="00FA434D">
        <w:rPr>
          <w:color w:val="000000"/>
        </w:rPr>
        <w:t xml:space="preserve"> </w:t>
      </w:r>
      <w:r w:rsidRPr="00525FE5">
        <w:rPr>
          <w:color w:val="000000"/>
        </w:rPr>
        <w:t>(Ж)</w:t>
      </w:r>
      <w:r>
        <w:rPr>
          <w:color w:val="000000"/>
        </w:rPr>
        <w:t>.</w:t>
      </w:r>
    </w:p>
    <w:p w:rsidR="00721F6C" w:rsidRDefault="00721F6C" w:rsidP="00721F6C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</w:rPr>
        <w:t>Вид р</w:t>
      </w:r>
      <w:r w:rsidRPr="00A65B67">
        <w:rPr>
          <w:color w:val="000000"/>
        </w:rPr>
        <w:t>азрешенно</w:t>
      </w:r>
      <w:r>
        <w:rPr>
          <w:color w:val="000000"/>
        </w:rPr>
        <w:t>го</w:t>
      </w:r>
      <w:r w:rsidRPr="00A65B67">
        <w:rPr>
          <w:color w:val="000000"/>
        </w:rPr>
        <w:t xml:space="preserve"> использовани</w:t>
      </w:r>
      <w:r>
        <w:rPr>
          <w:color w:val="000000"/>
        </w:rPr>
        <w:t>я</w:t>
      </w:r>
      <w:r w:rsidRPr="00A65B67">
        <w:rPr>
          <w:color w:val="000000"/>
        </w:rPr>
        <w:t xml:space="preserve">: </w:t>
      </w:r>
      <w:r>
        <w:t>Для индивидуального жилищного строительства (код 2.1).</w:t>
      </w:r>
      <w:r w:rsidRPr="00217508">
        <w:t xml:space="preserve"> </w:t>
      </w:r>
    </w:p>
    <w:p w:rsidR="00721F6C" w:rsidRPr="00290322" w:rsidRDefault="00721F6C" w:rsidP="00721F6C">
      <w:pPr>
        <w:pStyle w:val="preformat"/>
        <w:spacing w:before="0" w:beforeAutospacing="0" w:after="0" w:afterAutospacing="0"/>
        <w:ind w:firstLine="567"/>
        <w:jc w:val="both"/>
      </w:pPr>
      <w:r>
        <w:t>Ограничений использования и обременений земельного участка не установлено.</w:t>
      </w:r>
    </w:p>
    <w:p w:rsidR="00721F6C" w:rsidRDefault="00721F6C" w:rsidP="00721F6C">
      <w:pPr>
        <w:widowControl w:val="0"/>
        <w:suppressAutoHyphens/>
        <w:ind w:firstLine="567"/>
        <w:jc w:val="both"/>
        <w:rPr>
          <w:color w:val="000000"/>
        </w:rPr>
      </w:pPr>
      <w:r>
        <w:rPr>
          <w:color w:val="000000"/>
        </w:rPr>
        <w:t>Срок аренды земельного участка: 20 лет.</w:t>
      </w:r>
    </w:p>
    <w:p w:rsidR="00721F6C" w:rsidRDefault="00721F6C" w:rsidP="00721F6C">
      <w:pPr>
        <w:widowControl w:val="0"/>
        <w:suppressAutoHyphens/>
        <w:ind w:firstLine="567"/>
        <w:jc w:val="both"/>
        <w:rPr>
          <w:color w:val="000000"/>
        </w:rPr>
      </w:pPr>
      <w:r>
        <w:rPr>
          <w:color w:val="000000"/>
        </w:rPr>
        <w:lastRenderedPageBreak/>
        <w:t>Дата размещения извещения о предоставлении земельного участка для индивидуального жилищного строительства в соответствии с подпунктом 1 пункта 1 статьи 39.18 Земельного кодекса Российской Федерации: 04.10.2024 года.</w:t>
      </w:r>
    </w:p>
    <w:p w:rsidR="00721F6C" w:rsidRDefault="00721F6C" w:rsidP="00721F6C">
      <w:pPr>
        <w:widowControl w:val="0"/>
        <w:suppressAutoHyphens/>
        <w:ind w:firstLine="567"/>
        <w:rPr>
          <w:rFonts w:eastAsia="Times New Roman CYR" w:cs="Times New Roman CYR"/>
          <w:bCs/>
        </w:rPr>
      </w:pPr>
      <w:r w:rsidRPr="00FF48F1">
        <w:rPr>
          <w:rFonts w:eastAsia="Times New Roman CYR" w:cs="Times New Roman CYR"/>
          <w:b/>
          <w:bCs/>
        </w:rPr>
        <w:t>Параметры разрешенного строительства объектов капитального строительства</w:t>
      </w:r>
      <w:r w:rsidRPr="00FF48F1">
        <w:rPr>
          <w:rFonts w:eastAsia="Times New Roman CYR" w:cs="Times New Roman CYR"/>
          <w:bCs/>
        </w:rPr>
        <w:t>:</w:t>
      </w:r>
    </w:p>
    <w:p w:rsidR="00721F6C" w:rsidRPr="009310CD" w:rsidRDefault="00721F6C" w:rsidP="00721F6C">
      <w:pPr>
        <w:tabs>
          <w:tab w:val="left" w:pos="1099"/>
        </w:tabs>
        <w:autoSpaceDE w:val="0"/>
        <w:autoSpaceDN w:val="0"/>
        <w:adjustRightInd w:val="0"/>
        <w:ind w:firstLine="720"/>
        <w:jc w:val="center"/>
      </w:pPr>
      <w:r w:rsidRPr="009310CD">
        <w:t>Предельные размеры земельных участков, предельные параметры разрешенного строительства, реконструкции объектов капитального строительства зоны</w:t>
      </w:r>
      <w:proofErr w:type="gramStart"/>
      <w:r w:rsidRPr="009310CD">
        <w:t xml:space="preserve">  Ж</w:t>
      </w:r>
      <w:proofErr w:type="gramEnd"/>
    </w:p>
    <w:p w:rsidR="00721F6C" w:rsidRPr="009310CD" w:rsidRDefault="00721F6C" w:rsidP="00721F6C">
      <w:pPr>
        <w:tabs>
          <w:tab w:val="left" w:pos="1099"/>
        </w:tabs>
        <w:autoSpaceDE w:val="0"/>
        <w:autoSpaceDN w:val="0"/>
        <w:adjustRightInd w:val="0"/>
        <w:ind w:firstLine="720"/>
        <w:jc w:val="center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276"/>
        <w:gridCol w:w="4819"/>
      </w:tblGrid>
      <w:tr w:rsidR="00721F6C" w:rsidRPr="00CA4FD9" w:rsidTr="00D25475">
        <w:trPr>
          <w:trHeight w:val="717"/>
          <w:tblHeader/>
        </w:trPr>
        <w:tc>
          <w:tcPr>
            <w:tcW w:w="567" w:type="dxa"/>
            <w:vAlign w:val="center"/>
          </w:tcPr>
          <w:p w:rsidR="00721F6C" w:rsidRPr="00CA4FD9" w:rsidRDefault="00721F6C" w:rsidP="00D25475">
            <w:pPr>
              <w:suppressAutoHyphens/>
              <w:jc w:val="center"/>
              <w:rPr>
                <w:rFonts w:eastAsia="Calibri"/>
                <w:kern w:val="2"/>
                <w:sz w:val="20"/>
                <w:szCs w:val="20"/>
                <w:lang w:eastAsia="ar-SA"/>
              </w:rPr>
            </w:pPr>
            <w:r w:rsidRPr="00CA4FD9">
              <w:rPr>
                <w:rFonts w:eastAsia="Calibri"/>
                <w:kern w:val="2"/>
                <w:sz w:val="20"/>
                <w:szCs w:val="20"/>
                <w:lang w:eastAsia="ar-SA"/>
              </w:rPr>
              <w:t xml:space="preserve">№ </w:t>
            </w:r>
            <w:proofErr w:type="gramStart"/>
            <w:r w:rsidRPr="00CA4FD9">
              <w:rPr>
                <w:rFonts w:eastAsia="Calibri"/>
                <w:kern w:val="2"/>
                <w:sz w:val="20"/>
                <w:szCs w:val="20"/>
                <w:lang w:eastAsia="ar-SA"/>
              </w:rPr>
              <w:t>п</w:t>
            </w:r>
            <w:proofErr w:type="gramEnd"/>
            <w:r w:rsidRPr="00CA4FD9">
              <w:rPr>
                <w:rFonts w:eastAsia="Calibri"/>
                <w:kern w:val="2"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2977" w:type="dxa"/>
            <w:vAlign w:val="center"/>
          </w:tcPr>
          <w:p w:rsidR="00721F6C" w:rsidRPr="00CA4FD9" w:rsidRDefault="00721F6C" w:rsidP="00D25475">
            <w:pPr>
              <w:suppressAutoHyphens/>
              <w:jc w:val="center"/>
              <w:rPr>
                <w:rFonts w:eastAsia="Calibri"/>
                <w:kern w:val="2"/>
                <w:sz w:val="20"/>
                <w:szCs w:val="20"/>
                <w:lang w:eastAsia="ar-SA"/>
              </w:rPr>
            </w:pPr>
            <w:r w:rsidRPr="00CA4FD9">
              <w:rPr>
                <w:rFonts w:eastAsia="Calibri"/>
                <w:kern w:val="2"/>
                <w:sz w:val="20"/>
                <w:szCs w:val="20"/>
                <w:lang w:eastAsia="ar-SA"/>
              </w:rPr>
              <w:t>Наименование</w:t>
            </w:r>
          </w:p>
        </w:tc>
        <w:tc>
          <w:tcPr>
            <w:tcW w:w="1276" w:type="dxa"/>
            <w:vAlign w:val="center"/>
          </w:tcPr>
          <w:p w:rsidR="00721F6C" w:rsidRPr="00CA4FD9" w:rsidRDefault="00721F6C" w:rsidP="00D25475">
            <w:pPr>
              <w:suppressAutoHyphens/>
              <w:ind w:left="-108" w:right="-108"/>
              <w:jc w:val="center"/>
              <w:rPr>
                <w:rFonts w:eastAsia="Calibri"/>
                <w:kern w:val="2"/>
                <w:sz w:val="20"/>
                <w:szCs w:val="20"/>
                <w:lang w:eastAsia="ar-SA"/>
              </w:rPr>
            </w:pPr>
            <w:r w:rsidRPr="00CA4FD9">
              <w:rPr>
                <w:rFonts w:eastAsia="Calibri"/>
                <w:kern w:val="2"/>
                <w:sz w:val="20"/>
                <w:szCs w:val="20"/>
                <w:lang w:eastAsia="ar-SA"/>
              </w:rPr>
              <w:t>Единица измерения</w:t>
            </w:r>
          </w:p>
        </w:tc>
        <w:tc>
          <w:tcPr>
            <w:tcW w:w="4819" w:type="dxa"/>
            <w:vAlign w:val="center"/>
          </w:tcPr>
          <w:p w:rsidR="00721F6C" w:rsidRPr="00CA4FD9" w:rsidRDefault="00721F6C" w:rsidP="00D25475">
            <w:pPr>
              <w:suppressAutoHyphens/>
              <w:jc w:val="center"/>
              <w:rPr>
                <w:rFonts w:eastAsia="Calibri"/>
                <w:kern w:val="2"/>
                <w:sz w:val="20"/>
                <w:szCs w:val="20"/>
                <w:lang w:eastAsia="ar-SA"/>
              </w:rPr>
            </w:pPr>
            <w:r w:rsidRPr="00CA4FD9">
              <w:rPr>
                <w:rFonts w:eastAsia="Calibri"/>
                <w:kern w:val="2"/>
                <w:sz w:val="20"/>
                <w:szCs w:val="20"/>
                <w:lang w:eastAsia="ar-SA"/>
              </w:rPr>
              <w:t>Количество</w:t>
            </w:r>
          </w:p>
        </w:tc>
      </w:tr>
      <w:tr w:rsidR="00721F6C" w:rsidRPr="00CA4FD9" w:rsidTr="00D25475">
        <w:trPr>
          <w:trHeight w:val="543"/>
        </w:trPr>
        <w:tc>
          <w:tcPr>
            <w:tcW w:w="567" w:type="dxa"/>
            <w:vMerge w:val="restart"/>
            <w:vAlign w:val="center"/>
          </w:tcPr>
          <w:p w:rsidR="00721F6C" w:rsidRPr="00CA4FD9" w:rsidRDefault="00721F6C" w:rsidP="00D25475">
            <w:pPr>
              <w:suppressAutoHyphens/>
              <w:jc w:val="center"/>
              <w:rPr>
                <w:rFonts w:eastAsia="Calibri"/>
                <w:kern w:val="2"/>
                <w:sz w:val="20"/>
                <w:szCs w:val="20"/>
                <w:lang w:eastAsia="ar-SA"/>
              </w:rPr>
            </w:pPr>
            <w:r w:rsidRPr="00CA4FD9">
              <w:rPr>
                <w:rFonts w:eastAsia="Calibri"/>
                <w:kern w:val="2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977" w:type="dxa"/>
            <w:vMerge w:val="restart"/>
            <w:vAlign w:val="center"/>
          </w:tcPr>
          <w:p w:rsidR="00721F6C" w:rsidRPr="00CA4FD9" w:rsidRDefault="00721F6C" w:rsidP="00D25475">
            <w:pPr>
              <w:suppressAutoHyphens/>
              <w:rPr>
                <w:rFonts w:eastAsia="Calibri"/>
                <w:kern w:val="2"/>
                <w:sz w:val="20"/>
                <w:szCs w:val="20"/>
                <w:lang w:eastAsia="ar-SA"/>
              </w:rPr>
            </w:pPr>
            <w:r w:rsidRPr="00CA4FD9">
              <w:rPr>
                <w:rFonts w:eastAsia="Calibri"/>
                <w:kern w:val="2"/>
                <w:sz w:val="20"/>
                <w:szCs w:val="20"/>
                <w:lang w:eastAsia="ar-SA"/>
              </w:rPr>
              <w:t>Минимальный размер земельного участка</w:t>
            </w:r>
          </w:p>
        </w:tc>
        <w:tc>
          <w:tcPr>
            <w:tcW w:w="1276" w:type="dxa"/>
            <w:vMerge w:val="restart"/>
            <w:vAlign w:val="center"/>
          </w:tcPr>
          <w:p w:rsidR="00721F6C" w:rsidRPr="00CA4FD9" w:rsidRDefault="00721F6C" w:rsidP="00D25475">
            <w:pPr>
              <w:suppressAutoHyphens/>
              <w:ind w:left="-108" w:right="-108"/>
              <w:jc w:val="center"/>
              <w:rPr>
                <w:rFonts w:eastAsia="Calibri"/>
                <w:kern w:val="2"/>
                <w:sz w:val="20"/>
                <w:szCs w:val="20"/>
                <w:lang w:eastAsia="ar-SA"/>
              </w:rPr>
            </w:pPr>
            <w:r w:rsidRPr="00CA4FD9">
              <w:rPr>
                <w:rFonts w:eastAsia="Calibri"/>
                <w:kern w:val="2"/>
                <w:sz w:val="20"/>
                <w:szCs w:val="20"/>
                <w:lang w:eastAsia="ar-SA"/>
              </w:rPr>
              <w:t>кв. м</w:t>
            </w:r>
          </w:p>
        </w:tc>
        <w:tc>
          <w:tcPr>
            <w:tcW w:w="4819" w:type="dxa"/>
            <w:vAlign w:val="center"/>
          </w:tcPr>
          <w:p w:rsidR="00721F6C" w:rsidRPr="00CA4FD9" w:rsidRDefault="00721F6C" w:rsidP="00D25475">
            <w:pPr>
              <w:suppressAutoHyphens/>
              <w:rPr>
                <w:rFonts w:eastAsia="Calibri"/>
                <w:kern w:val="2"/>
                <w:sz w:val="20"/>
                <w:szCs w:val="20"/>
                <w:lang w:eastAsia="ar-SA"/>
              </w:rPr>
            </w:pPr>
            <w:r w:rsidRPr="00CA4FD9">
              <w:rPr>
                <w:rFonts w:eastAsia="Calibri"/>
                <w:kern w:val="2"/>
                <w:sz w:val="20"/>
                <w:szCs w:val="20"/>
                <w:lang w:eastAsia="ar-SA"/>
              </w:rPr>
              <w:t xml:space="preserve">1000 − для </w:t>
            </w:r>
            <w:r w:rsidRPr="00CA4FD9">
              <w:rPr>
                <w:sz w:val="20"/>
                <w:szCs w:val="20"/>
              </w:rPr>
              <w:t>индивидуального жилищного строительства</w:t>
            </w:r>
            <w:r w:rsidRPr="00CA4FD9">
              <w:rPr>
                <w:rFonts w:eastAsia="Calibri"/>
                <w:kern w:val="2"/>
                <w:sz w:val="20"/>
                <w:szCs w:val="20"/>
                <w:lang w:eastAsia="ar-SA"/>
              </w:rPr>
              <w:t>, ведения личного подсобного хозяйства</w:t>
            </w:r>
          </w:p>
        </w:tc>
      </w:tr>
      <w:tr w:rsidR="00721F6C" w:rsidRPr="00CA4FD9" w:rsidTr="00D25475">
        <w:trPr>
          <w:trHeight w:val="554"/>
        </w:trPr>
        <w:tc>
          <w:tcPr>
            <w:tcW w:w="567" w:type="dxa"/>
            <w:vMerge/>
            <w:vAlign w:val="center"/>
          </w:tcPr>
          <w:p w:rsidR="00721F6C" w:rsidRPr="00CA4FD9" w:rsidRDefault="00721F6C" w:rsidP="00D25475">
            <w:pPr>
              <w:suppressAutoHyphens/>
              <w:jc w:val="center"/>
              <w:rPr>
                <w:rFonts w:eastAsia="Calibr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vMerge/>
            <w:vAlign w:val="center"/>
          </w:tcPr>
          <w:p w:rsidR="00721F6C" w:rsidRPr="00CA4FD9" w:rsidRDefault="00721F6C" w:rsidP="00D25475">
            <w:pPr>
              <w:suppressAutoHyphens/>
              <w:rPr>
                <w:rFonts w:eastAsia="Calibr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vAlign w:val="center"/>
          </w:tcPr>
          <w:p w:rsidR="00721F6C" w:rsidRPr="00CA4FD9" w:rsidRDefault="00721F6C" w:rsidP="00D25475">
            <w:pPr>
              <w:suppressAutoHyphens/>
              <w:ind w:left="-108" w:right="-108"/>
              <w:jc w:val="center"/>
              <w:rPr>
                <w:rFonts w:eastAsia="Calibr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819" w:type="dxa"/>
            <w:vAlign w:val="center"/>
          </w:tcPr>
          <w:p w:rsidR="00721F6C" w:rsidRPr="00CA4FD9" w:rsidRDefault="00721F6C" w:rsidP="00D25475">
            <w:pPr>
              <w:suppressAutoHyphens/>
              <w:rPr>
                <w:rFonts w:eastAsia="Calibri"/>
                <w:kern w:val="2"/>
                <w:sz w:val="20"/>
                <w:szCs w:val="20"/>
                <w:lang w:eastAsia="ar-SA"/>
              </w:rPr>
            </w:pPr>
            <w:r w:rsidRPr="00CA4FD9">
              <w:rPr>
                <w:rFonts w:eastAsia="Calibri"/>
                <w:kern w:val="2"/>
                <w:sz w:val="20"/>
                <w:szCs w:val="20"/>
                <w:lang w:eastAsia="ar-SA"/>
              </w:rPr>
              <w:t>2000 –</w:t>
            </w:r>
            <w:r w:rsidRPr="00CA4FD9">
              <w:rPr>
                <w:sz w:val="20"/>
                <w:szCs w:val="20"/>
              </w:rPr>
              <w:t xml:space="preserve"> для блокированной жилой застройки,</w:t>
            </w:r>
            <w:r w:rsidRPr="00CA4FD9">
              <w:rPr>
                <w:rFonts w:eastAsia="Calibri"/>
                <w:kern w:val="2"/>
                <w:sz w:val="20"/>
                <w:szCs w:val="20"/>
                <w:lang w:eastAsia="ar-SA"/>
              </w:rPr>
              <w:t xml:space="preserve"> </w:t>
            </w:r>
            <w:r w:rsidRPr="00CA4FD9">
              <w:rPr>
                <w:sz w:val="20"/>
                <w:szCs w:val="20"/>
              </w:rPr>
              <w:t>малоэтажной многоквартирной жилой застройки</w:t>
            </w:r>
          </w:p>
        </w:tc>
      </w:tr>
      <w:tr w:rsidR="00721F6C" w:rsidRPr="00CA4FD9" w:rsidTr="00D25475">
        <w:trPr>
          <w:trHeight w:val="554"/>
        </w:trPr>
        <w:tc>
          <w:tcPr>
            <w:tcW w:w="567" w:type="dxa"/>
            <w:vMerge/>
            <w:vAlign w:val="center"/>
          </w:tcPr>
          <w:p w:rsidR="00721F6C" w:rsidRPr="00CA4FD9" w:rsidRDefault="00721F6C" w:rsidP="00D25475">
            <w:pPr>
              <w:suppressAutoHyphens/>
              <w:jc w:val="center"/>
              <w:rPr>
                <w:rFonts w:eastAsia="Calibr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vMerge/>
            <w:vAlign w:val="center"/>
          </w:tcPr>
          <w:p w:rsidR="00721F6C" w:rsidRPr="00CA4FD9" w:rsidRDefault="00721F6C" w:rsidP="00D25475">
            <w:pPr>
              <w:suppressAutoHyphens/>
              <w:rPr>
                <w:rFonts w:eastAsia="Calibr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vAlign w:val="center"/>
          </w:tcPr>
          <w:p w:rsidR="00721F6C" w:rsidRPr="00CA4FD9" w:rsidRDefault="00721F6C" w:rsidP="00D25475">
            <w:pPr>
              <w:suppressAutoHyphens/>
              <w:ind w:left="-108" w:right="-108"/>
              <w:jc w:val="center"/>
              <w:rPr>
                <w:rFonts w:eastAsia="Calibr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819" w:type="dxa"/>
            <w:vAlign w:val="center"/>
          </w:tcPr>
          <w:p w:rsidR="00721F6C" w:rsidRPr="00CA4FD9" w:rsidRDefault="00721F6C" w:rsidP="00D25475">
            <w:pPr>
              <w:suppressAutoHyphens/>
              <w:rPr>
                <w:rFonts w:eastAsia="Calibri"/>
                <w:kern w:val="2"/>
                <w:sz w:val="20"/>
                <w:szCs w:val="20"/>
                <w:lang w:eastAsia="ar-SA"/>
              </w:rPr>
            </w:pPr>
            <w:r w:rsidRPr="00CA4FD9">
              <w:rPr>
                <w:rFonts w:eastAsia="Calibri"/>
                <w:kern w:val="2"/>
                <w:sz w:val="20"/>
                <w:szCs w:val="20"/>
                <w:lang w:eastAsia="ar-SA"/>
              </w:rPr>
              <w:t>10 – для коммунального обслуживания (котельные, КНС, АТС, КТП, ЗТП, ШРП, ГРП, ТП)</w:t>
            </w:r>
          </w:p>
        </w:tc>
      </w:tr>
      <w:tr w:rsidR="00721F6C" w:rsidRPr="00CA4FD9" w:rsidTr="00D25475">
        <w:trPr>
          <w:trHeight w:val="224"/>
        </w:trPr>
        <w:tc>
          <w:tcPr>
            <w:tcW w:w="567" w:type="dxa"/>
            <w:vMerge/>
            <w:vAlign w:val="center"/>
          </w:tcPr>
          <w:p w:rsidR="00721F6C" w:rsidRPr="00CA4FD9" w:rsidRDefault="00721F6C" w:rsidP="00D25475">
            <w:pPr>
              <w:jc w:val="center"/>
              <w:rPr>
                <w:rFonts w:eastAsia="Calibr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vMerge/>
            <w:vAlign w:val="center"/>
          </w:tcPr>
          <w:p w:rsidR="00721F6C" w:rsidRPr="00CA4FD9" w:rsidRDefault="00721F6C" w:rsidP="00D25475">
            <w:pPr>
              <w:rPr>
                <w:rFonts w:eastAsia="Calibr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vAlign w:val="center"/>
          </w:tcPr>
          <w:p w:rsidR="00721F6C" w:rsidRPr="00CA4FD9" w:rsidRDefault="00721F6C" w:rsidP="00D25475">
            <w:pPr>
              <w:ind w:left="-108" w:right="-108"/>
              <w:jc w:val="center"/>
              <w:rPr>
                <w:rFonts w:eastAsia="Calibr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819" w:type="dxa"/>
            <w:vAlign w:val="center"/>
          </w:tcPr>
          <w:p w:rsidR="00721F6C" w:rsidRPr="00CA4FD9" w:rsidRDefault="00721F6C" w:rsidP="00D25475">
            <w:pPr>
              <w:suppressAutoHyphens/>
              <w:rPr>
                <w:rFonts w:eastAsia="Calibri"/>
                <w:kern w:val="2"/>
                <w:sz w:val="20"/>
                <w:szCs w:val="20"/>
                <w:lang w:eastAsia="ar-SA"/>
              </w:rPr>
            </w:pPr>
            <w:r w:rsidRPr="00CA4FD9">
              <w:rPr>
                <w:rFonts w:eastAsia="Calibri"/>
                <w:kern w:val="2"/>
                <w:sz w:val="20"/>
                <w:szCs w:val="20"/>
                <w:lang w:eastAsia="ar-SA"/>
              </w:rPr>
              <w:t>200 – для прочих объектов</w:t>
            </w:r>
          </w:p>
        </w:tc>
      </w:tr>
      <w:tr w:rsidR="00721F6C" w:rsidRPr="00CA4FD9" w:rsidTr="00D25475">
        <w:trPr>
          <w:trHeight w:val="625"/>
        </w:trPr>
        <w:tc>
          <w:tcPr>
            <w:tcW w:w="567" w:type="dxa"/>
            <w:vMerge w:val="restart"/>
            <w:vAlign w:val="center"/>
          </w:tcPr>
          <w:p w:rsidR="00721F6C" w:rsidRPr="00CA4FD9" w:rsidRDefault="00721F6C" w:rsidP="00D25475">
            <w:pPr>
              <w:suppressAutoHyphens/>
              <w:jc w:val="center"/>
              <w:rPr>
                <w:rFonts w:eastAsia="Calibri"/>
                <w:kern w:val="2"/>
                <w:sz w:val="20"/>
                <w:szCs w:val="20"/>
                <w:lang w:eastAsia="ar-SA"/>
              </w:rPr>
            </w:pPr>
            <w:r w:rsidRPr="00CA4FD9">
              <w:rPr>
                <w:rFonts w:eastAsia="Calibri"/>
                <w:kern w:val="2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977" w:type="dxa"/>
            <w:vMerge w:val="restart"/>
            <w:vAlign w:val="center"/>
          </w:tcPr>
          <w:p w:rsidR="00721F6C" w:rsidRPr="00CA4FD9" w:rsidRDefault="00721F6C" w:rsidP="00D25475">
            <w:pPr>
              <w:suppressAutoHyphens/>
              <w:rPr>
                <w:rFonts w:eastAsia="Calibri"/>
                <w:kern w:val="2"/>
                <w:sz w:val="20"/>
                <w:szCs w:val="20"/>
                <w:lang w:eastAsia="ar-SA"/>
              </w:rPr>
            </w:pPr>
            <w:r w:rsidRPr="00CA4FD9">
              <w:rPr>
                <w:rFonts w:eastAsia="Calibri"/>
                <w:kern w:val="2"/>
                <w:sz w:val="20"/>
                <w:szCs w:val="20"/>
                <w:lang w:eastAsia="ar-SA"/>
              </w:rPr>
              <w:t>Максимальный размер земельного участка</w:t>
            </w:r>
          </w:p>
        </w:tc>
        <w:tc>
          <w:tcPr>
            <w:tcW w:w="1276" w:type="dxa"/>
            <w:vMerge w:val="restart"/>
            <w:vAlign w:val="center"/>
          </w:tcPr>
          <w:p w:rsidR="00721F6C" w:rsidRPr="00CA4FD9" w:rsidRDefault="00721F6C" w:rsidP="00D25475">
            <w:pPr>
              <w:suppressAutoHyphens/>
              <w:ind w:left="-108" w:right="-108"/>
              <w:jc w:val="center"/>
              <w:rPr>
                <w:rFonts w:eastAsia="Calibri"/>
                <w:kern w:val="2"/>
                <w:sz w:val="20"/>
                <w:szCs w:val="20"/>
                <w:lang w:eastAsia="ar-SA"/>
              </w:rPr>
            </w:pPr>
            <w:r w:rsidRPr="00CA4FD9">
              <w:rPr>
                <w:rFonts w:eastAsia="Calibri"/>
                <w:kern w:val="2"/>
                <w:sz w:val="20"/>
                <w:szCs w:val="20"/>
                <w:lang w:eastAsia="ar-SA"/>
              </w:rPr>
              <w:t>кв. м</w:t>
            </w:r>
          </w:p>
        </w:tc>
        <w:tc>
          <w:tcPr>
            <w:tcW w:w="4819" w:type="dxa"/>
            <w:vAlign w:val="center"/>
          </w:tcPr>
          <w:p w:rsidR="00721F6C" w:rsidRPr="00CA4FD9" w:rsidRDefault="00721F6C" w:rsidP="00D25475">
            <w:pPr>
              <w:suppressAutoHyphens/>
              <w:rPr>
                <w:rFonts w:eastAsia="Calibri"/>
                <w:kern w:val="2"/>
                <w:sz w:val="20"/>
                <w:szCs w:val="20"/>
                <w:lang w:eastAsia="ar-SA"/>
              </w:rPr>
            </w:pPr>
            <w:r w:rsidRPr="00CA4FD9">
              <w:rPr>
                <w:rFonts w:eastAsia="Calibri"/>
                <w:kern w:val="2"/>
                <w:sz w:val="20"/>
                <w:szCs w:val="20"/>
                <w:lang w:eastAsia="ar-SA"/>
              </w:rPr>
              <w:t xml:space="preserve">2500 – для </w:t>
            </w:r>
            <w:r w:rsidRPr="00CA4FD9">
              <w:rPr>
                <w:sz w:val="20"/>
                <w:szCs w:val="20"/>
              </w:rPr>
              <w:t>индивидуального жилищного строительства</w:t>
            </w:r>
            <w:r w:rsidRPr="00CA4FD9">
              <w:rPr>
                <w:rFonts w:eastAsia="Calibri"/>
                <w:kern w:val="2"/>
                <w:sz w:val="20"/>
                <w:szCs w:val="20"/>
                <w:lang w:eastAsia="ar-SA"/>
              </w:rPr>
              <w:t>, ведения личного подсобного хозяйства</w:t>
            </w:r>
          </w:p>
        </w:tc>
      </w:tr>
      <w:tr w:rsidR="00721F6C" w:rsidRPr="00CA4FD9" w:rsidTr="00D25475">
        <w:trPr>
          <w:trHeight w:val="449"/>
        </w:trPr>
        <w:tc>
          <w:tcPr>
            <w:tcW w:w="567" w:type="dxa"/>
            <w:vMerge/>
            <w:vAlign w:val="center"/>
          </w:tcPr>
          <w:p w:rsidR="00721F6C" w:rsidRPr="00CA4FD9" w:rsidRDefault="00721F6C" w:rsidP="00D25475">
            <w:pPr>
              <w:suppressAutoHyphens/>
              <w:jc w:val="center"/>
              <w:rPr>
                <w:rFonts w:eastAsia="Calibr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vMerge/>
            <w:vAlign w:val="center"/>
          </w:tcPr>
          <w:p w:rsidR="00721F6C" w:rsidRPr="00CA4FD9" w:rsidRDefault="00721F6C" w:rsidP="00D25475">
            <w:pPr>
              <w:suppressAutoHyphens/>
              <w:rPr>
                <w:rFonts w:eastAsia="Calibr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vAlign w:val="center"/>
          </w:tcPr>
          <w:p w:rsidR="00721F6C" w:rsidRPr="00CA4FD9" w:rsidRDefault="00721F6C" w:rsidP="00D25475">
            <w:pPr>
              <w:suppressAutoHyphens/>
              <w:ind w:left="-108" w:right="-108"/>
              <w:jc w:val="center"/>
              <w:rPr>
                <w:rFonts w:eastAsia="Calibr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819" w:type="dxa"/>
            <w:vAlign w:val="center"/>
          </w:tcPr>
          <w:p w:rsidR="00721F6C" w:rsidRPr="00CA4FD9" w:rsidRDefault="00721F6C" w:rsidP="00D25475">
            <w:pPr>
              <w:suppressAutoHyphens/>
              <w:rPr>
                <w:rFonts w:eastAsia="Calibri"/>
                <w:kern w:val="2"/>
                <w:sz w:val="20"/>
                <w:szCs w:val="20"/>
                <w:lang w:eastAsia="ar-SA"/>
              </w:rPr>
            </w:pPr>
            <w:r w:rsidRPr="00CA4FD9">
              <w:rPr>
                <w:rFonts w:eastAsia="Calibri"/>
                <w:kern w:val="2"/>
                <w:sz w:val="20"/>
                <w:szCs w:val="20"/>
                <w:lang w:eastAsia="ar-SA"/>
              </w:rPr>
              <w:t xml:space="preserve">5000 – </w:t>
            </w:r>
            <w:r w:rsidRPr="00CA4FD9">
              <w:rPr>
                <w:sz w:val="20"/>
                <w:szCs w:val="20"/>
              </w:rPr>
              <w:t>для блокированной жилой застройки,</w:t>
            </w:r>
            <w:r w:rsidRPr="00CA4FD9">
              <w:rPr>
                <w:rFonts w:eastAsia="Calibri"/>
                <w:kern w:val="2"/>
                <w:sz w:val="20"/>
                <w:szCs w:val="20"/>
                <w:lang w:eastAsia="ar-SA"/>
              </w:rPr>
              <w:t xml:space="preserve"> </w:t>
            </w:r>
            <w:r w:rsidRPr="00CA4FD9">
              <w:rPr>
                <w:sz w:val="20"/>
                <w:szCs w:val="20"/>
              </w:rPr>
              <w:t>малоэтажной многоквартирной жилой застройки</w:t>
            </w:r>
          </w:p>
        </w:tc>
      </w:tr>
      <w:tr w:rsidR="00721F6C" w:rsidRPr="00CA4FD9" w:rsidTr="00D25475">
        <w:trPr>
          <w:trHeight w:val="179"/>
        </w:trPr>
        <w:tc>
          <w:tcPr>
            <w:tcW w:w="567" w:type="dxa"/>
            <w:vMerge/>
            <w:vAlign w:val="center"/>
          </w:tcPr>
          <w:p w:rsidR="00721F6C" w:rsidRPr="00CA4FD9" w:rsidRDefault="00721F6C" w:rsidP="00D25475">
            <w:pPr>
              <w:suppressAutoHyphens/>
              <w:jc w:val="center"/>
              <w:rPr>
                <w:rFonts w:eastAsia="Calibr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vMerge/>
            <w:vAlign w:val="center"/>
          </w:tcPr>
          <w:p w:rsidR="00721F6C" w:rsidRPr="00CA4FD9" w:rsidRDefault="00721F6C" w:rsidP="00D25475">
            <w:pPr>
              <w:suppressAutoHyphens/>
              <w:rPr>
                <w:rFonts w:eastAsia="Calibr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vAlign w:val="center"/>
          </w:tcPr>
          <w:p w:rsidR="00721F6C" w:rsidRPr="00CA4FD9" w:rsidRDefault="00721F6C" w:rsidP="00D25475">
            <w:pPr>
              <w:suppressAutoHyphens/>
              <w:ind w:left="-108" w:right="-108"/>
              <w:jc w:val="center"/>
              <w:rPr>
                <w:rFonts w:eastAsia="Calibr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819" w:type="dxa"/>
            <w:vAlign w:val="center"/>
          </w:tcPr>
          <w:p w:rsidR="00721F6C" w:rsidRPr="00CA4FD9" w:rsidRDefault="00721F6C" w:rsidP="00D25475">
            <w:pPr>
              <w:suppressAutoHyphens/>
              <w:rPr>
                <w:rFonts w:eastAsia="Calibri"/>
                <w:kern w:val="2"/>
                <w:sz w:val="20"/>
                <w:szCs w:val="20"/>
                <w:lang w:eastAsia="ar-SA"/>
              </w:rPr>
            </w:pPr>
            <w:r w:rsidRPr="00CA4FD9">
              <w:rPr>
                <w:rFonts w:eastAsia="Calibri"/>
                <w:kern w:val="2"/>
                <w:sz w:val="20"/>
                <w:szCs w:val="20"/>
                <w:lang w:eastAsia="ar-SA"/>
              </w:rPr>
              <w:t>2000 – для прочих объектов</w:t>
            </w:r>
          </w:p>
        </w:tc>
      </w:tr>
      <w:tr w:rsidR="00721F6C" w:rsidRPr="00CA4FD9" w:rsidTr="00D25475">
        <w:trPr>
          <w:trHeight w:val="846"/>
        </w:trPr>
        <w:tc>
          <w:tcPr>
            <w:tcW w:w="567" w:type="dxa"/>
            <w:vMerge w:val="restart"/>
            <w:vAlign w:val="center"/>
          </w:tcPr>
          <w:p w:rsidR="00721F6C" w:rsidRPr="00CA4FD9" w:rsidRDefault="00721F6C" w:rsidP="00D25475">
            <w:pPr>
              <w:suppressAutoHyphens/>
              <w:jc w:val="center"/>
              <w:rPr>
                <w:rFonts w:eastAsia="Calibri"/>
                <w:kern w:val="2"/>
                <w:sz w:val="20"/>
                <w:szCs w:val="20"/>
                <w:lang w:eastAsia="ar-SA"/>
              </w:rPr>
            </w:pPr>
            <w:r w:rsidRPr="00CA4FD9">
              <w:rPr>
                <w:rFonts w:eastAsia="Calibri"/>
                <w:kern w:val="2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977" w:type="dxa"/>
            <w:vMerge w:val="restart"/>
            <w:vAlign w:val="center"/>
          </w:tcPr>
          <w:p w:rsidR="00721F6C" w:rsidRPr="00CA4FD9" w:rsidRDefault="00721F6C" w:rsidP="00D25475">
            <w:pPr>
              <w:suppressAutoHyphens/>
              <w:rPr>
                <w:rFonts w:eastAsia="Calibri"/>
                <w:kern w:val="2"/>
                <w:sz w:val="20"/>
                <w:szCs w:val="20"/>
                <w:lang w:eastAsia="ar-SA"/>
              </w:rPr>
            </w:pPr>
            <w:r w:rsidRPr="00CA4FD9">
              <w:rPr>
                <w:rFonts w:eastAsia="Calibri"/>
                <w:kern w:val="2"/>
                <w:sz w:val="20"/>
                <w:szCs w:val="20"/>
                <w:lang w:eastAsia="ar-SA"/>
              </w:rPr>
              <w:t>Минимальная ширина земельного участка по уличному фронту</w:t>
            </w:r>
          </w:p>
        </w:tc>
        <w:tc>
          <w:tcPr>
            <w:tcW w:w="1276" w:type="dxa"/>
            <w:vMerge w:val="restart"/>
            <w:vAlign w:val="center"/>
          </w:tcPr>
          <w:p w:rsidR="00721F6C" w:rsidRPr="00CA4FD9" w:rsidRDefault="00721F6C" w:rsidP="00D25475">
            <w:pPr>
              <w:suppressAutoHyphens/>
              <w:ind w:left="-108" w:right="-108"/>
              <w:jc w:val="center"/>
              <w:rPr>
                <w:rFonts w:eastAsia="Calibri"/>
                <w:kern w:val="2"/>
                <w:sz w:val="20"/>
                <w:szCs w:val="20"/>
                <w:lang w:eastAsia="ar-SA"/>
              </w:rPr>
            </w:pPr>
            <w:r w:rsidRPr="00CA4FD9">
              <w:rPr>
                <w:rFonts w:eastAsia="Calibri"/>
                <w:kern w:val="2"/>
                <w:sz w:val="20"/>
                <w:szCs w:val="20"/>
                <w:lang w:eastAsia="ar-SA"/>
              </w:rPr>
              <w:t>м</w:t>
            </w:r>
          </w:p>
        </w:tc>
        <w:tc>
          <w:tcPr>
            <w:tcW w:w="4819" w:type="dxa"/>
            <w:vAlign w:val="center"/>
          </w:tcPr>
          <w:p w:rsidR="00721F6C" w:rsidRPr="00CA4FD9" w:rsidRDefault="00721F6C" w:rsidP="00D25475">
            <w:pPr>
              <w:suppressAutoHyphens/>
              <w:rPr>
                <w:rFonts w:eastAsia="Calibri"/>
                <w:kern w:val="2"/>
                <w:sz w:val="20"/>
                <w:szCs w:val="20"/>
                <w:lang w:eastAsia="ar-SA"/>
              </w:rPr>
            </w:pPr>
            <w:r w:rsidRPr="00CA4FD9">
              <w:rPr>
                <w:rFonts w:eastAsia="Calibri"/>
                <w:kern w:val="2"/>
                <w:sz w:val="20"/>
                <w:szCs w:val="20"/>
                <w:lang w:eastAsia="ar-SA"/>
              </w:rPr>
              <w:t xml:space="preserve">15 – для </w:t>
            </w:r>
            <w:r w:rsidRPr="00CA4FD9">
              <w:rPr>
                <w:sz w:val="20"/>
                <w:szCs w:val="20"/>
              </w:rPr>
              <w:t>индивидуального жилищного строительства</w:t>
            </w:r>
            <w:r w:rsidRPr="00CA4FD9">
              <w:rPr>
                <w:rFonts w:eastAsia="Calibri"/>
                <w:kern w:val="2"/>
                <w:sz w:val="20"/>
                <w:szCs w:val="20"/>
                <w:lang w:eastAsia="ar-SA"/>
              </w:rPr>
              <w:t>, ведения личного подсобного хозяйства</w:t>
            </w:r>
          </w:p>
        </w:tc>
      </w:tr>
      <w:tr w:rsidR="00721F6C" w:rsidRPr="00CA4FD9" w:rsidTr="00D25475">
        <w:trPr>
          <w:trHeight w:val="461"/>
        </w:trPr>
        <w:tc>
          <w:tcPr>
            <w:tcW w:w="567" w:type="dxa"/>
            <w:vMerge/>
            <w:vAlign w:val="center"/>
          </w:tcPr>
          <w:p w:rsidR="00721F6C" w:rsidRPr="00CA4FD9" w:rsidRDefault="00721F6C" w:rsidP="00D25475">
            <w:pPr>
              <w:suppressAutoHyphens/>
              <w:jc w:val="center"/>
              <w:rPr>
                <w:rFonts w:eastAsia="Calibr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vMerge/>
            <w:vAlign w:val="center"/>
          </w:tcPr>
          <w:p w:rsidR="00721F6C" w:rsidRPr="00CA4FD9" w:rsidRDefault="00721F6C" w:rsidP="00D25475">
            <w:pPr>
              <w:suppressAutoHyphens/>
              <w:rPr>
                <w:rFonts w:eastAsia="Calibr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vAlign w:val="center"/>
          </w:tcPr>
          <w:p w:rsidR="00721F6C" w:rsidRPr="00CA4FD9" w:rsidRDefault="00721F6C" w:rsidP="00D25475">
            <w:pPr>
              <w:suppressAutoHyphens/>
              <w:ind w:left="-108" w:right="-108"/>
              <w:jc w:val="center"/>
              <w:rPr>
                <w:rFonts w:eastAsia="Calibr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819" w:type="dxa"/>
            <w:vAlign w:val="center"/>
          </w:tcPr>
          <w:p w:rsidR="00721F6C" w:rsidRPr="00CA4FD9" w:rsidRDefault="00721F6C" w:rsidP="00D25475">
            <w:pPr>
              <w:suppressAutoHyphens/>
              <w:rPr>
                <w:rFonts w:eastAsia="Calibri"/>
                <w:kern w:val="2"/>
                <w:sz w:val="20"/>
                <w:szCs w:val="20"/>
                <w:lang w:eastAsia="ar-SA"/>
              </w:rPr>
            </w:pPr>
            <w:r w:rsidRPr="00CA4FD9">
              <w:rPr>
                <w:rFonts w:eastAsia="Calibri"/>
                <w:kern w:val="2"/>
                <w:sz w:val="20"/>
                <w:szCs w:val="20"/>
                <w:lang w:eastAsia="ar-SA"/>
              </w:rPr>
              <w:t xml:space="preserve">10 – </w:t>
            </w:r>
            <w:r w:rsidRPr="00CA4FD9">
              <w:rPr>
                <w:sz w:val="20"/>
                <w:szCs w:val="20"/>
              </w:rPr>
              <w:t>для блокированной жилой застройки,</w:t>
            </w:r>
            <w:r w:rsidRPr="00CA4FD9">
              <w:rPr>
                <w:rFonts w:eastAsia="Calibri"/>
                <w:kern w:val="2"/>
                <w:sz w:val="20"/>
                <w:szCs w:val="20"/>
                <w:lang w:eastAsia="ar-SA"/>
              </w:rPr>
              <w:t xml:space="preserve"> </w:t>
            </w:r>
            <w:r w:rsidRPr="00CA4FD9">
              <w:rPr>
                <w:sz w:val="20"/>
                <w:szCs w:val="20"/>
              </w:rPr>
              <w:t>малоэтажной многоквартирной жилой застройки</w:t>
            </w:r>
          </w:p>
        </w:tc>
      </w:tr>
      <w:tr w:rsidR="00721F6C" w:rsidRPr="00CA4FD9" w:rsidTr="00D25475">
        <w:trPr>
          <w:trHeight w:val="708"/>
        </w:trPr>
        <w:tc>
          <w:tcPr>
            <w:tcW w:w="567" w:type="dxa"/>
            <w:vMerge w:val="restart"/>
            <w:vAlign w:val="center"/>
          </w:tcPr>
          <w:p w:rsidR="00721F6C" w:rsidRPr="00CA4FD9" w:rsidRDefault="00721F6C" w:rsidP="00D25475">
            <w:pPr>
              <w:suppressAutoHyphens/>
              <w:jc w:val="center"/>
              <w:rPr>
                <w:rFonts w:eastAsia="Calibri"/>
                <w:kern w:val="2"/>
                <w:sz w:val="20"/>
                <w:szCs w:val="20"/>
                <w:lang w:eastAsia="ar-SA"/>
              </w:rPr>
            </w:pPr>
            <w:r w:rsidRPr="00CA4FD9">
              <w:rPr>
                <w:rFonts w:eastAsia="Calibri"/>
                <w:kern w:val="2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977" w:type="dxa"/>
            <w:vMerge w:val="restart"/>
            <w:vAlign w:val="center"/>
          </w:tcPr>
          <w:p w:rsidR="00721F6C" w:rsidRPr="00CA4FD9" w:rsidRDefault="00721F6C" w:rsidP="00D25475">
            <w:pPr>
              <w:suppressAutoHyphens/>
              <w:rPr>
                <w:rFonts w:eastAsia="Calibri"/>
                <w:kern w:val="2"/>
                <w:sz w:val="20"/>
                <w:szCs w:val="20"/>
                <w:lang w:eastAsia="ar-SA"/>
              </w:rPr>
            </w:pPr>
            <w:r w:rsidRPr="00CA4FD9">
              <w:rPr>
                <w:rFonts w:eastAsia="Calibri"/>
                <w:kern w:val="2"/>
                <w:sz w:val="20"/>
                <w:szCs w:val="20"/>
                <w:lang w:eastAsia="ar-SA"/>
              </w:rPr>
              <w:t xml:space="preserve">Максимальный процент </w:t>
            </w:r>
            <w:r w:rsidRPr="00CA4FD9">
              <w:rPr>
                <w:kern w:val="2"/>
                <w:sz w:val="20"/>
                <w:szCs w:val="20"/>
                <w:lang w:eastAsia="ar-SA"/>
              </w:rPr>
              <w:t>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276" w:type="dxa"/>
            <w:vMerge w:val="restart"/>
            <w:vAlign w:val="center"/>
          </w:tcPr>
          <w:p w:rsidR="00721F6C" w:rsidRPr="00CA4FD9" w:rsidRDefault="00721F6C" w:rsidP="00D25475">
            <w:pPr>
              <w:suppressAutoHyphens/>
              <w:ind w:left="-108" w:right="-108"/>
              <w:jc w:val="center"/>
              <w:rPr>
                <w:rFonts w:eastAsia="Calibri"/>
                <w:kern w:val="2"/>
                <w:sz w:val="20"/>
                <w:szCs w:val="20"/>
                <w:lang w:eastAsia="ar-SA"/>
              </w:rPr>
            </w:pPr>
            <w:r w:rsidRPr="00CA4FD9">
              <w:rPr>
                <w:rFonts w:eastAsia="Calibri"/>
                <w:kern w:val="2"/>
                <w:sz w:val="20"/>
                <w:szCs w:val="20"/>
                <w:lang w:eastAsia="ar-SA"/>
              </w:rPr>
              <w:t>процент</w:t>
            </w:r>
          </w:p>
        </w:tc>
        <w:tc>
          <w:tcPr>
            <w:tcW w:w="4819" w:type="dxa"/>
            <w:vAlign w:val="center"/>
          </w:tcPr>
          <w:p w:rsidR="00721F6C" w:rsidRPr="00CA4FD9" w:rsidRDefault="00721F6C" w:rsidP="00D25475">
            <w:pPr>
              <w:suppressAutoHyphens/>
              <w:rPr>
                <w:rFonts w:eastAsia="Calibri"/>
                <w:kern w:val="2"/>
                <w:sz w:val="20"/>
                <w:szCs w:val="20"/>
                <w:lang w:eastAsia="ar-SA"/>
              </w:rPr>
            </w:pPr>
            <w:r w:rsidRPr="00CA4FD9">
              <w:rPr>
                <w:rFonts w:eastAsia="Calibri"/>
                <w:kern w:val="2"/>
                <w:sz w:val="20"/>
                <w:szCs w:val="20"/>
                <w:lang w:eastAsia="ar-SA"/>
              </w:rPr>
              <w:t>20 – для индивидуального жилищного строительства, ведения личного подсобного хозяйства</w:t>
            </w:r>
          </w:p>
        </w:tc>
      </w:tr>
      <w:tr w:rsidR="00721F6C" w:rsidRPr="00CA4FD9" w:rsidTr="00D25475">
        <w:trPr>
          <w:trHeight w:val="706"/>
        </w:trPr>
        <w:tc>
          <w:tcPr>
            <w:tcW w:w="567" w:type="dxa"/>
            <w:vMerge/>
            <w:vAlign w:val="center"/>
          </w:tcPr>
          <w:p w:rsidR="00721F6C" w:rsidRPr="00CA4FD9" w:rsidRDefault="00721F6C" w:rsidP="00D25475">
            <w:pPr>
              <w:suppressAutoHyphens/>
              <w:jc w:val="center"/>
              <w:rPr>
                <w:rFonts w:eastAsia="Calibr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vMerge/>
            <w:vAlign w:val="center"/>
          </w:tcPr>
          <w:p w:rsidR="00721F6C" w:rsidRPr="00CA4FD9" w:rsidRDefault="00721F6C" w:rsidP="00D25475">
            <w:pPr>
              <w:suppressAutoHyphens/>
              <w:rPr>
                <w:rFonts w:eastAsia="Calibr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vAlign w:val="center"/>
          </w:tcPr>
          <w:p w:rsidR="00721F6C" w:rsidRPr="00CA4FD9" w:rsidRDefault="00721F6C" w:rsidP="00D25475">
            <w:pPr>
              <w:suppressAutoHyphens/>
              <w:ind w:left="-108" w:right="-108"/>
              <w:jc w:val="center"/>
              <w:rPr>
                <w:rFonts w:eastAsia="Calibr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819" w:type="dxa"/>
            <w:vAlign w:val="center"/>
          </w:tcPr>
          <w:p w:rsidR="00721F6C" w:rsidRPr="00CA4FD9" w:rsidRDefault="00721F6C" w:rsidP="00D25475">
            <w:pPr>
              <w:suppressAutoHyphens/>
              <w:rPr>
                <w:rFonts w:eastAsia="Calibri"/>
                <w:kern w:val="2"/>
                <w:sz w:val="20"/>
                <w:szCs w:val="20"/>
                <w:lang w:eastAsia="ar-SA"/>
              </w:rPr>
            </w:pPr>
            <w:r w:rsidRPr="00CA4FD9">
              <w:rPr>
                <w:rFonts w:eastAsia="Calibri"/>
                <w:kern w:val="2"/>
                <w:sz w:val="20"/>
                <w:szCs w:val="20"/>
                <w:lang w:eastAsia="ar-SA"/>
              </w:rPr>
              <w:t>50 – для малоэтажной многоквартирной жилой застройки</w:t>
            </w:r>
          </w:p>
        </w:tc>
      </w:tr>
      <w:tr w:rsidR="00721F6C" w:rsidRPr="00CA4FD9" w:rsidTr="00D25475">
        <w:trPr>
          <w:trHeight w:val="461"/>
        </w:trPr>
        <w:tc>
          <w:tcPr>
            <w:tcW w:w="567" w:type="dxa"/>
            <w:vMerge/>
            <w:vAlign w:val="center"/>
          </w:tcPr>
          <w:p w:rsidR="00721F6C" w:rsidRPr="00CA4FD9" w:rsidRDefault="00721F6C" w:rsidP="00D25475">
            <w:pPr>
              <w:suppressAutoHyphens/>
              <w:jc w:val="center"/>
              <w:rPr>
                <w:rFonts w:eastAsia="Calibr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vMerge/>
            <w:vAlign w:val="center"/>
          </w:tcPr>
          <w:p w:rsidR="00721F6C" w:rsidRPr="00CA4FD9" w:rsidRDefault="00721F6C" w:rsidP="00D25475">
            <w:pPr>
              <w:suppressAutoHyphens/>
              <w:rPr>
                <w:rFonts w:eastAsia="Calibr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vAlign w:val="center"/>
          </w:tcPr>
          <w:p w:rsidR="00721F6C" w:rsidRPr="00CA4FD9" w:rsidRDefault="00721F6C" w:rsidP="00D25475">
            <w:pPr>
              <w:suppressAutoHyphens/>
              <w:ind w:left="-108" w:right="-108"/>
              <w:jc w:val="center"/>
              <w:rPr>
                <w:rFonts w:eastAsia="Calibr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819" w:type="dxa"/>
            <w:vAlign w:val="center"/>
          </w:tcPr>
          <w:p w:rsidR="00721F6C" w:rsidRPr="00CA4FD9" w:rsidRDefault="00721F6C" w:rsidP="00D25475">
            <w:pPr>
              <w:suppressAutoHyphens/>
              <w:rPr>
                <w:rFonts w:eastAsia="Calibri"/>
                <w:kern w:val="2"/>
                <w:sz w:val="20"/>
                <w:szCs w:val="20"/>
                <w:lang w:eastAsia="ar-SA"/>
              </w:rPr>
            </w:pPr>
            <w:r w:rsidRPr="00CA4FD9">
              <w:rPr>
                <w:rFonts w:eastAsia="Calibri"/>
                <w:kern w:val="2"/>
                <w:sz w:val="20"/>
                <w:szCs w:val="20"/>
                <w:lang w:eastAsia="ar-SA"/>
              </w:rPr>
              <w:t>90 – для коммунального обслуживания (котельные, КНС, АТС, КТП, ЗТП, ШРП, ГРП, ТП)</w:t>
            </w:r>
          </w:p>
        </w:tc>
      </w:tr>
      <w:tr w:rsidR="00721F6C" w:rsidRPr="00CA4FD9" w:rsidTr="00D25475">
        <w:trPr>
          <w:trHeight w:val="314"/>
        </w:trPr>
        <w:tc>
          <w:tcPr>
            <w:tcW w:w="567" w:type="dxa"/>
            <w:vMerge/>
            <w:vAlign w:val="center"/>
          </w:tcPr>
          <w:p w:rsidR="00721F6C" w:rsidRPr="00CA4FD9" w:rsidRDefault="00721F6C" w:rsidP="00D25475">
            <w:pPr>
              <w:suppressAutoHyphens/>
              <w:jc w:val="center"/>
              <w:rPr>
                <w:rFonts w:eastAsia="Calibr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vMerge/>
            <w:vAlign w:val="center"/>
          </w:tcPr>
          <w:p w:rsidR="00721F6C" w:rsidRPr="00CA4FD9" w:rsidRDefault="00721F6C" w:rsidP="00D25475">
            <w:pPr>
              <w:suppressAutoHyphens/>
              <w:rPr>
                <w:rFonts w:eastAsia="Calibr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vAlign w:val="center"/>
          </w:tcPr>
          <w:p w:rsidR="00721F6C" w:rsidRPr="00CA4FD9" w:rsidRDefault="00721F6C" w:rsidP="00D25475">
            <w:pPr>
              <w:suppressAutoHyphens/>
              <w:ind w:left="-108" w:right="-108"/>
              <w:jc w:val="center"/>
              <w:rPr>
                <w:rFonts w:eastAsia="Calibr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819" w:type="dxa"/>
            <w:vAlign w:val="center"/>
          </w:tcPr>
          <w:p w:rsidR="00721F6C" w:rsidRPr="00CA4FD9" w:rsidRDefault="00721F6C" w:rsidP="00D25475">
            <w:pPr>
              <w:suppressAutoHyphens/>
              <w:rPr>
                <w:rFonts w:eastAsia="Calibri"/>
                <w:kern w:val="2"/>
                <w:sz w:val="20"/>
                <w:szCs w:val="20"/>
                <w:lang w:eastAsia="ar-SA"/>
              </w:rPr>
            </w:pPr>
            <w:r w:rsidRPr="00CA4FD9">
              <w:rPr>
                <w:rFonts w:eastAsia="Calibri"/>
                <w:kern w:val="2"/>
                <w:sz w:val="20"/>
                <w:szCs w:val="20"/>
                <w:lang w:eastAsia="ar-SA"/>
              </w:rPr>
              <w:t>40 – для прочих объектов</w:t>
            </w:r>
          </w:p>
        </w:tc>
      </w:tr>
      <w:tr w:rsidR="00721F6C" w:rsidRPr="00CA4FD9" w:rsidTr="00D25475">
        <w:trPr>
          <w:trHeight w:val="113"/>
        </w:trPr>
        <w:tc>
          <w:tcPr>
            <w:tcW w:w="567" w:type="dxa"/>
            <w:vMerge w:val="restart"/>
            <w:vAlign w:val="center"/>
          </w:tcPr>
          <w:p w:rsidR="00721F6C" w:rsidRPr="00CA4FD9" w:rsidRDefault="00721F6C" w:rsidP="00D25475">
            <w:pPr>
              <w:suppressAutoHyphens/>
              <w:jc w:val="center"/>
              <w:rPr>
                <w:rFonts w:eastAsia="Calibri"/>
                <w:kern w:val="2"/>
                <w:sz w:val="20"/>
                <w:szCs w:val="20"/>
                <w:lang w:eastAsia="ar-SA"/>
              </w:rPr>
            </w:pPr>
            <w:r w:rsidRPr="00CA4FD9">
              <w:rPr>
                <w:rFonts w:eastAsia="Calibri"/>
                <w:kern w:val="2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977" w:type="dxa"/>
            <w:vMerge w:val="restart"/>
            <w:vAlign w:val="center"/>
          </w:tcPr>
          <w:p w:rsidR="00721F6C" w:rsidRPr="00CA4FD9" w:rsidRDefault="00721F6C" w:rsidP="00D25475">
            <w:pPr>
              <w:suppressAutoHyphens/>
              <w:rPr>
                <w:rFonts w:eastAsia="Calibri"/>
                <w:kern w:val="2"/>
                <w:sz w:val="20"/>
                <w:szCs w:val="20"/>
                <w:lang w:eastAsia="ar-SA"/>
              </w:rPr>
            </w:pPr>
            <w:r w:rsidRPr="00CA4FD9">
              <w:rPr>
                <w:sz w:val="20"/>
                <w:szCs w:val="20"/>
              </w:rPr>
              <w:t>Минимальные отступы от красных линий и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76" w:type="dxa"/>
            <w:vMerge w:val="restart"/>
            <w:vAlign w:val="center"/>
          </w:tcPr>
          <w:p w:rsidR="00721F6C" w:rsidRPr="00CA4FD9" w:rsidRDefault="00721F6C" w:rsidP="00D25475">
            <w:pPr>
              <w:suppressAutoHyphens/>
              <w:ind w:left="-108" w:right="-108"/>
              <w:jc w:val="center"/>
              <w:rPr>
                <w:rFonts w:eastAsia="Calibri"/>
                <w:kern w:val="2"/>
                <w:sz w:val="20"/>
                <w:szCs w:val="20"/>
                <w:lang w:eastAsia="ar-SA"/>
              </w:rPr>
            </w:pPr>
            <w:r w:rsidRPr="00CA4FD9">
              <w:rPr>
                <w:rFonts w:eastAsia="Calibri"/>
                <w:kern w:val="2"/>
                <w:sz w:val="20"/>
                <w:szCs w:val="20"/>
                <w:lang w:eastAsia="ar-SA"/>
              </w:rPr>
              <w:t>м</w:t>
            </w:r>
          </w:p>
        </w:tc>
        <w:tc>
          <w:tcPr>
            <w:tcW w:w="4819" w:type="dxa"/>
            <w:vAlign w:val="center"/>
          </w:tcPr>
          <w:p w:rsidR="00721F6C" w:rsidRPr="00CA4FD9" w:rsidRDefault="00721F6C" w:rsidP="00D254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4FD9">
              <w:rPr>
                <w:sz w:val="20"/>
                <w:szCs w:val="20"/>
              </w:rPr>
              <w:t xml:space="preserve">3 </w:t>
            </w:r>
            <w:r w:rsidRPr="00CA4FD9">
              <w:rPr>
                <w:rFonts w:eastAsia="Calibri"/>
                <w:kern w:val="2"/>
                <w:sz w:val="20"/>
                <w:szCs w:val="20"/>
                <w:lang w:eastAsia="ar-SA"/>
              </w:rPr>
              <w:t>–</w:t>
            </w:r>
            <w:r w:rsidRPr="00CA4FD9">
              <w:rPr>
                <w:sz w:val="20"/>
                <w:szCs w:val="20"/>
              </w:rPr>
              <w:t xml:space="preserve"> для индивидуальных жилых домов, ведения личного подсобного хозяйства, </w:t>
            </w:r>
            <w:r w:rsidRPr="00CA4FD9">
              <w:rPr>
                <w:sz w:val="20"/>
                <w:szCs w:val="20"/>
              </w:rPr>
              <w:br/>
              <w:t>для малоэтажных многоквартирных домов</w:t>
            </w:r>
          </w:p>
        </w:tc>
      </w:tr>
      <w:tr w:rsidR="00721F6C" w:rsidRPr="00CA4FD9" w:rsidTr="00D25475">
        <w:trPr>
          <w:trHeight w:val="541"/>
        </w:trPr>
        <w:tc>
          <w:tcPr>
            <w:tcW w:w="567" w:type="dxa"/>
            <w:vMerge/>
            <w:vAlign w:val="center"/>
          </w:tcPr>
          <w:p w:rsidR="00721F6C" w:rsidRPr="00CA4FD9" w:rsidRDefault="00721F6C" w:rsidP="00D25475">
            <w:pPr>
              <w:suppressAutoHyphens/>
              <w:jc w:val="center"/>
              <w:rPr>
                <w:rFonts w:eastAsia="Calibr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vMerge/>
            <w:vAlign w:val="center"/>
          </w:tcPr>
          <w:p w:rsidR="00721F6C" w:rsidRPr="00CA4FD9" w:rsidRDefault="00721F6C" w:rsidP="00D25475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21F6C" w:rsidRPr="00CA4FD9" w:rsidRDefault="00721F6C" w:rsidP="00D25475">
            <w:pPr>
              <w:suppressAutoHyphens/>
              <w:ind w:left="-108" w:right="-108"/>
              <w:jc w:val="center"/>
              <w:rPr>
                <w:rFonts w:eastAsia="Calibr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819" w:type="dxa"/>
            <w:vAlign w:val="center"/>
          </w:tcPr>
          <w:p w:rsidR="00721F6C" w:rsidRPr="00CA4FD9" w:rsidRDefault="00721F6C" w:rsidP="00D254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4FD9">
              <w:rPr>
                <w:sz w:val="20"/>
                <w:szCs w:val="20"/>
              </w:rPr>
              <w:t>3 – для вспомогательных построек (индивидуальные гаражи, бани и другие), при этом скат крыши должен быть ориентирован на свой участок</w:t>
            </w:r>
          </w:p>
        </w:tc>
      </w:tr>
      <w:tr w:rsidR="00721F6C" w:rsidRPr="00CA4FD9" w:rsidTr="00D25475">
        <w:trPr>
          <w:trHeight w:val="541"/>
        </w:trPr>
        <w:tc>
          <w:tcPr>
            <w:tcW w:w="567" w:type="dxa"/>
            <w:vMerge/>
            <w:vAlign w:val="center"/>
          </w:tcPr>
          <w:p w:rsidR="00721F6C" w:rsidRPr="00CA4FD9" w:rsidRDefault="00721F6C" w:rsidP="00D25475">
            <w:pPr>
              <w:suppressAutoHyphens/>
              <w:jc w:val="center"/>
              <w:rPr>
                <w:rFonts w:eastAsia="Calibr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vMerge/>
            <w:vAlign w:val="center"/>
          </w:tcPr>
          <w:p w:rsidR="00721F6C" w:rsidRPr="00CA4FD9" w:rsidRDefault="00721F6C" w:rsidP="00D25475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21F6C" w:rsidRPr="00CA4FD9" w:rsidRDefault="00721F6C" w:rsidP="00D25475">
            <w:pPr>
              <w:suppressAutoHyphens/>
              <w:ind w:left="-108" w:right="-108"/>
              <w:jc w:val="center"/>
              <w:rPr>
                <w:rFonts w:eastAsia="Calibr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819" w:type="dxa"/>
            <w:vAlign w:val="center"/>
          </w:tcPr>
          <w:p w:rsidR="00721F6C" w:rsidRPr="00CA4FD9" w:rsidRDefault="00721F6C" w:rsidP="00D254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4FD9">
              <w:rPr>
                <w:sz w:val="20"/>
                <w:szCs w:val="20"/>
              </w:rPr>
              <w:t>4 – для построек для содержания скота и птицы</w:t>
            </w:r>
          </w:p>
        </w:tc>
      </w:tr>
      <w:tr w:rsidR="00721F6C" w:rsidRPr="00CA4FD9" w:rsidTr="00D25475">
        <w:trPr>
          <w:trHeight w:val="104"/>
        </w:trPr>
        <w:tc>
          <w:tcPr>
            <w:tcW w:w="567" w:type="dxa"/>
            <w:vMerge/>
            <w:vAlign w:val="center"/>
          </w:tcPr>
          <w:p w:rsidR="00721F6C" w:rsidRPr="00CA4FD9" w:rsidRDefault="00721F6C" w:rsidP="00D25475">
            <w:pPr>
              <w:suppressAutoHyphens/>
              <w:jc w:val="center"/>
              <w:rPr>
                <w:rFonts w:eastAsia="Calibr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vMerge/>
            <w:vAlign w:val="center"/>
          </w:tcPr>
          <w:p w:rsidR="00721F6C" w:rsidRPr="00CA4FD9" w:rsidRDefault="00721F6C" w:rsidP="00D25475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21F6C" w:rsidRPr="00CA4FD9" w:rsidRDefault="00721F6C" w:rsidP="00D25475">
            <w:pPr>
              <w:suppressAutoHyphens/>
              <w:ind w:left="-108" w:right="-108"/>
              <w:jc w:val="center"/>
              <w:rPr>
                <w:rFonts w:eastAsia="Calibr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819" w:type="dxa"/>
            <w:vAlign w:val="center"/>
          </w:tcPr>
          <w:p w:rsidR="00721F6C" w:rsidRPr="00CA4FD9" w:rsidRDefault="00721F6C" w:rsidP="00D254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4FD9">
              <w:rPr>
                <w:sz w:val="20"/>
                <w:szCs w:val="20"/>
              </w:rPr>
              <w:t xml:space="preserve">3 </w:t>
            </w:r>
            <w:r w:rsidRPr="00CA4FD9">
              <w:rPr>
                <w:rFonts w:eastAsia="Calibri"/>
                <w:kern w:val="2"/>
                <w:sz w:val="20"/>
                <w:szCs w:val="20"/>
                <w:lang w:eastAsia="ar-SA"/>
              </w:rPr>
              <w:t>–</w:t>
            </w:r>
            <w:r w:rsidRPr="00CA4FD9">
              <w:rPr>
                <w:sz w:val="20"/>
                <w:szCs w:val="20"/>
              </w:rPr>
              <w:t xml:space="preserve"> для прочих объектов</w:t>
            </w:r>
          </w:p>
        </w:tc>
      </w:tr>
      <w:tr w:rsidR="00721F6C" w:rsidRPr="00CA4FD9" w:rsidTr="00D25475">
        <w:trPr>
          <w:trHeight w:val="103"/>
        </w:trPr>
        <w:tc>
          <w:tcPr>
            <w:tcW w:w="567" w:type="dxa"/>
            <w:vMerge/>
            <w:vAlign w:val="center"/>
          </w:tcPr>
          <w:p w:rsidR="00721F6C" w:rsidRPr="00CA4FD9" w:rsidRDefault="00721F6C" w:rsidP="00D25475">
            <w:pPr>
              <w:suppressAutoHyphens/>
              <w:jc w:val="center"/>
              <w:rPr>
                <w:rFonts w:eastAsia="Calibr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vMerge/>
            <w:vAlign w:val="center"/>
          </w:tcPr>
          <w:p w:rsidR="00721F6C" w:rsidRPr="00CA4FD9" w:rsidRDefault="00721F6C" w:rsidP="00D25475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21F6C" w:rsidRPr="00CA4FD9" w:rsidRDefault="00721F6C" w:rsidP="00D25475">
            <w:pPr>
              <w:suppressAutoHyphens/>
              <w:ind w:left="-108" w:right="-108"/>
              <w:jc w:val="center"/>
              <w:rPr>
                <w:rFonts w:eastAsia="Calibr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819" w:type="dxa"/>
            <w:vAlign w:val="center"/>
          </w:tcPr>
          <w:p w:rsidR="00721F6C" w:rsidRPr="00CA4FD9" w:rsidRDefault="00721F6C" w:rsidP="00D2547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kern w:val="2"/>
                <w:sz w:val="20"/>
                <w:szCs w:val="20"/>
                <w:lang w:eastAsia="ar-SA"/>
              </w:rPr>
            </w:pPr>
            <w:r w:rsidRPr="00CA4FD9">
              <w:rPr>
                <w:sz w:val="20"/>
                <w:szCs w:val="20"/>
              </w:rPr>
              <w:t xml:space="preserve">Для коммунального обслуживания </w:t>
            </w:r>
            <w:r w:rsidRPr="00CA4FD9">
              <w:rPr>
                <w:rFonts w:eastAsia="Calibri"/>
                <w:kern w:val="2"/>
                <w:sz w:val="20"/>
                <w:szCs w:val="20"/>
                <w:lang w:eastAsia="ar-SA"/>
              </w:rPr>
              <w:t>(котельные, КНС, АТС, КТП, ЗТП, ШРП, ГРП, ТП):</w:t>
            </w:r>
          </w:p>
          <w:p w:rsidR="00721F6C" w:rsidRPr="00CA4FD9" w:rsidRDefault="00721F6C" w:rsidP="00D2547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kern w:val="2"/>
                <w:sz w:val="20"/>
                <w:szCs w:val="20"/>
                <w:lang w:eastAsia="ar-SA"/>
              </w:rPr>
            </w:pPr>
            <w:r w:rsidRPr="00CA4FD9">
              <w:rPr>
                <w:rFonts w:eastAsia="Calibri"/>
                <w:kern w:val="2"/>
                <w:sz w:val="20"/>
                <w:szCs w:val="20"/>
                <w:lang w:eastAsia="ar-SA"/>
              </w:rPr>
              <w:t>1 – от границ земельного участка;</w:t>
            </w:r>
          </w:p>
          <w:p w:rsidR="00721F6C" w:rsidRPr="00CA4FD9" w:rsidRDefault="00721F6C" w:rsidP="00D254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4FD9">
              <w:rPr>
                <w:rFonts w:eastAsia="Calibri"/>
                <w:kern w:val="2"/>
                <w:sz w:val="20"/>
                <w:szCs w:val="20"/>
                <w:lang w:eastAsia="ar-SA"/>
              </w:rPr>
              <w:t>3 – от красных линий (улиц и проездов)</w:t>
            </w:r>
          </w:p>
        </w:tc>
      </w:tr>
      <w:tr w:rsidR="00721F6C" w:rsidRPr="00CA4FD9" w:rsidTr="00D25475">
        <w:trPr>
          <w:trHeight w:val="64"/>
        </w:trPr>
        <w:tc>
          <w:tcPr>
            <w:tcW w:w="567" w:type="dxa"/>
            <w:vMerge w:val="restart"/>
            <w:vAlign w:val="center"/>
          </w:tcPr>
          <w:p w:rsidR="00721F6C" w:rsidRPr="00CA4FD9" w:rsidRDefault="00721F6C" w:rsidP="00D254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4FD9">
              <w:rPr>
                <w:sz w:val="20"/>
                <w:szCs w:val="20"/>
              </w:rPr>
              <w:t>6</w:t>
            </w:r>
          </w:p>
        </w:tc>
        <w:tc>
          <w:tcPr>
            <w:tcW w:w="2977" w:type="dxa"/>
            <w:vMerge w:val="restart"/>
            <w:vAlign w:val="center"/>
          </w:tcPr>
          <w:p w:rsidR="00721F6C" w:rsidRPr="00CA4FD9" w:rsidRDefault="00721F6C" w:rsidP="00D254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4FD9">
              <w:rPr>
                <w:sz w:val="20"/>
                <w:szCs w:val="20"/>
              </w:rPr>
              <w:t>Предельное количество этажей</w:t>
            </w:r>
          </w:p>
        </w:tc>
        <w:tc>
          <w:tcPr>
            <w:tcW w:w="1276" w:type="dxa"/>
            <w:vMerge w:val="restart"/>
            <w:vAlign w:val="center"/>
          </w:tcPr>
          <w:p w:rsidR="00721F6C" w:rsidRPr="00CA4FD9" w:rsidRDefault="00721F6C" w:rsidP="00D2547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CA4FD9">
              <w:rPr>
                <w:sz w:val="20"/>
                <w:szCs w:val="20"/>
              </w:rPr>
              <w:t>этаж</w:t>
            </w:r>
          </w:p>
        </w:tc>
        <w:tc>
          <w:tcPr>
            <w:tcW w:w="4819" w:type="dxa"/>
            <w:vAlign w:val="center"/>
          </w:tcPr>
          <w:p w:rsidR="00721F6C" w:rsidRPr="00CA4FD9" w:rsidRDefault="00721F6C" w:rsidP="00D25475">
            <w:pPr>
              <w:suppressAutoHyphens/>
              <w:rPr>
                <w:rFonts w:eastAsia="Calibri"/>
                <w:kern w:val="2"/>
                <w:sz w:val="20"/>
                <w:szCs w:val="20"/>
                <w:lang w:eastAsia="ar-SA"/>
              </w:rPr>
            </w:pPr>
            <w:r w:rsidRPr="00CA4FD9">
              <w:rPr>
                <w:rFonts w:eastAsia="Calibri"/>
                <w:kern w:val="2"/>
                <w:sz w:val="20"/>
                <w:szCs w:val="20"/>
                <w:lang w:eastAsia="ar-SA"/>
              </w:rPr>
              <w:t xml:space="preserve">3 – для </w:t>
            </w:r>
            <w:r w:rsidRPr="00CA4FD9">
              <w:rPr>
                <w:sz w:val="20"/>
                <w:szCs w:val="20"/>
              </w:rPr>
              <w:t>индивидуального жилищного строительства</w:t>
            </w:r>
            <w:r w:rsidRPr="00CA4FD9">
              <w:rPr>
                <w:rFonts w:eastAsia="Calibri"/>
                <w:kern w:val="2"/>
                <w:sz w:val="20"/>
                <w:szCs w:val="20"/>
                <w:lang w:eastAsia="ar-SA"/>
              </w:rPr>
              <w:t>, ведения личного подсобного хозяйства</w:t>
            </w:r>
          </w:p>
        </w:tc>
      </w:tr>
      <w:tr w:rsidR="00721F6C" w:rsidRPr="00CA4FD9" w:rsidTr="00D25475">
        <w:trPr>
          <w:trHeight w:val="64"/>
        </w:trPr>
        <w:tc>
          <w:tcPr>
            <w:tcW w:w="567" w:type="dxa"/>
            <w:vMerge/>
            <w:vAlign w:val="center"/>
          </w:tcPr>
          <w:p w:rsidR="00721F6C" w:rsidRPr="00CA4FD9" w:rsidRDefault="00721F6C" w:rsidP="00D254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:rsidR="00721F6C" w:rsidRPr="00CA4FD9" w:rsidRDefault="00721F6C" w:rsidP="00D2547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21F6C" w:rsidRPr="00CA4FD9" w:rsidRDefault="00721F6C" w:rsidP="00D2547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721F6C" w:rsidRPr="00CA4FD9" w:rsidRDefault="00721F6C" w:rsidP="00D25475">
            <w:pPr>
              <w:suppressAutoHyphens/>
              <w:rPr>
                <w:rFonts w:eastAsia="Calibri"/>
                <w:kern w:val="2"/>
                <w:sz w:val="20"/>
                <w:szCs w:val="20"/>
                <w:lang w:eastAsia="ar-SA"/>
              </w:rPr>
            </w:pPr>
            <w:r w:rsidRPr="00CA4FD9">
              <w:rPr>
                <w:rFonts w:eastAsia="Calibri"/>
                <w:kern w:val="2"/>
                <w:sz w:val="20"/>
                <w:szCs w:val="20"/>
                <w:lang w:eastAsia="ar-SA"/>
              </w:rPr>
              <w:t xml:space="preserve">2 – </w:t>
            </w:r>
            <w:r w:rsidRPr="00CA4FD9">
              <w:rPr>
                <w:sz w:val="20"/>
                <w:szCs w:val="20"/>
              </w:rPr>
              <w:t>для блокированной жилой застройки,</w:t>
            </w:r>
            <w:r w:rsidRPr="00CA4FD9">
              <w:rPr>
                <w:rFonts w:eastAsia="Calibri"/>
                <w:kern w:val="2"/>
                <w:sz w:val="20"/>
                <w:szCs w:val="20"/>
                <w:lang w:eastAsia="ar-SA"/>
              </w:rPr>
              <w:t xml:space="preserve"> </w:t>
            </w:r>
            <w:r w:rsidRPr="00CA4FD9">
              <w:rPr>
                <w:sz w:val="20"/>
                <w:szCs w:val="20"/>
              </w:rPr>
              <w:t>малоэтажной многоквартирной жилой застройки</w:t>
            </w:r>
          </w:p>
        </w:tc>
      </w:tr>
      <w:tr w:rsidR="00721F6C" w:rsidRPr="00CA4FD9" w:rsidTr="00D25475">
        <w:trPr>
          <w:trHeight w:val="64"/>
        </w:trPr>
        <w:tc>
          <w:tcPr>
            <w:tcW w:w="567" w:type="dxa"/>
            <w:vMerge/>
            <w:vAlign w:val="center"/>
          </w:tcPr>
          <w:p w:rsidR="00721F6C" w:rsidRPr="00CA4FD9" w:rsidRDefault="00721F6C" w:rsidP="00D254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:rsidR="00721F6C" w:rsidRPr="00CA4FD9" w:rsidRDefault="00721F6C" w:rsidP="00D2547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21F6C" w:rsidRPr="00CA4FD9" w:rsidRDefault="00721F6C" w:rsidP="00D2547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721F6C" w:rsidRPr="00CA4FD9" w:rsidRDefault="00721F6C" w:rsidP="00D25475">
            <w:pPr>
              <w:suppressAutoHyphens/>
              <w:rPr>
                <w:rFonts w:eastAsia="Calibri"/>
                <w:kern w:val="2"/>
                <w:sz w:val="20"/>
                <w:szCs w:val="20"/>
                <w:lang w:eastAsia="ar-SA"/>
              </w:rPr>
            </w:pPr>
            <w:r w:rsidRPr="00CA4FD9">
              <w:rPr>
                <w:rFonts w:eastAsia="Calibri"/>
                <w:kern w:val="2"/>
                <w:sz w:val="20"/>
                <w:szCs w:val="20"/>
                <w:lang w:eastAsia="ar-SA"/>
              </w:rPr>
              <w:t>2 – для прочих объектов капитального строительства</w:t>
            </w:r>
          </w:p>
        </w:tc>
      </w:tr>
      <w:tr w:rsidR="00721F6C" w:rsidRPr="00CA4FD9" w:rsidTr="00D25475">
        <w:trPr>
          <w:trHeight w:val="64"/>
        </w:trPr>
        <w:tc>
          <w:tcPr>
            <w:tcW w:w="567" w:type="dxa"/>
            <w:vMerge w:val="restart"/>
            <w:vAlign w:val="center"/>
          </w:tcPr>
          <w:p w:rsidR="00721F6C" w:rsidRPr="00CA4FD9" w:rsidRDefault="00721F6C" w:rsidP="00D25475">
            <w:pPr>
              <w:jc w:val="center"/>
              <w:rPr>
                <w:sz w:val="20"/>
                <w:szCs w:val="20"/>
              </w:rPr>
            </w:pPr>
            <w:r w:rsidRPr="00CA4FD9">
              <w:rPr>
                <w:sz w:val="20"/>
                <w:szCs w:val="20"/>
              </w:rPr>
              <w:t>7</w:t>
            </w:r>
          </w:p>
        </w:tc>
        <w:tc>
          <w:tcPr>
            <w:tcW w:w="2977" w:type="dxa"/>
            <w:vMerge w:val="restart"/>
            <w:vAlign w:val="center"/>
          </w:tcPr>
          <w:p w:rsidR="00721F6C" w:rsidRPr="00CA4FD9" w:rsidRDefault="00721F6C" w:rsidP="00D25475">
            <w:pPr>
              <w:rPr>
                <w:sz w:val="20"/>
                <w:szCs w:val="20"/>
              </w:rPr>
            </w:pPr>
            <w:r w:rsidRPr="00CA4FD9">
              <w:rPr>
                <w:sz w:val="20"/>
                <w:szCs w:val="20"/>
              </w:rPr>
              <w:t>Предельная высота зданий, строений</w:t>
            </w:r>
          </w:p>
        </w:tc>
        <w:tc>
          <w:tcPr>
            <w:tcW w:w="1276" w:type="dxa"/>
            <w:vMerge w:val="restart"/>
            <w:vAlign w:val="center"/>
          </w:tcPr>
          <w:p w:rsidR="00721F6C" w:rsidRPr="00CA4FD9" w:rsidRDefault="00721F6C" w:rsidP="00D2547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A4FD9">
              <w:rPr>
                <w:sz w:val="20"/>
                <w:szCs w:val="20"/>
              </w:rPr>
              <w:t>м</w:t>
            </w:r>
          </w:p>
        </w:tc>
        <w:tc>
          <w:tcPr>
            <w:tcW w:w="4819" w:type="dxa"/>
            <w:vAlign w:val="center"/>
          </w:tcPr>
          <w:p w:rsidR="00721F6C" w:rsidRPr="00CA4FD9" w:rsidRDefault="00721F6C" w:rsidP="00D25475">
            <w:pPr>
              <w:suppressAutoHyphens/>
              <w:rPr>
                <w:rFonts w:eastAsia="Calibri"/>
                <w:kern w:val="2"/>
                <w:sz w:val="20"/>
                <w:szCs w:val="20"/>
                <w:lang w:eastAsia="ar-SA"/>
              </w:rPr>
            </w:pPr>
            <w:r w:rsidRPr="00CA4FD9">
              <w:rPr>
                <w:rFonts w:eastAsia="Calibri"/>
                <w:kern w:val="2"/>
                <w:sz w:val="20"/>
                <w:szCs w:val="20"/>
                <w:lang w:eastAsia="ar-SA"/>
              </w:rPr>
              <w:t xml:space="preserve">8 – для </w:t>
            </w:r>
            <w:r w:rsidRPr="00CA4FD9">
              <w:rPr>
                <w:sz w:val="20"/>
                <w:szCs w:val="20"/>
              </w:rPr>
              <w:t>индивидуального жилищного строительства</w:t>
            </w:r>
            <w:r w:rsidRPr="00CA4FD9">
              <w:rPr>
                <w:rFonts w:eastAsia="Calibri"/>
                <w:kern w:val="2"/>
                <w:sz w:val="20"/>
                <w:szCs w:val="20"/>
                <w:lang w:eastAsia="ar-SA"/>
              </w:rPr>
              <w:t>, ведения личного подсобного хозяйства,</w:t>
            </w:r>
            <w:r w:rsidRPr="00CA4FD9">
              <w:rPr>
                <w:sz w:val="20"/>
                <w:szCs w:val="20"/>
              </w:rPr>
              <w:t xml:space="preserve"> блокированной жилой застройки,</w:t>
            </w:r>
            <w:r w:rsidRPr="00CA4FD9">
              <w:rPr>
                <w:rFonts w:eastAsia="Calibri"/>
                <w:kern w:val="2"/>
                <w:sz w:val="20"/>
                <w:szCs w:val="20"/>
                <w:lang w:eastAsia="ar-SA"/>
              </w:rPr>
              <w:t xml:space="preserve"> </w:t>
            </w:r>
            <w:r w:rsidRPr="00CA4FD9">
              <w:rPr>
                <w:sz w:val="20"/>
                <w:szCs w:val="20"/>
              </w:rPr>
              <w:t>малоэтажной многоквартирной жилой застройки</w:t>
            </w:r>
          </w:p>
        </w:tc>
      </w:tr>
      <w:tr w:rsidR="00721F6C" w:rsidRPr="00CA4FD9" w:rsidTr="00D25475">
        <w:trPr>
          <w:trHeight w:val="64"/>
        </w:trPr>
        <w:tc>
          <w:tcPr>
            <w:tcW w:w="567" w:type="dxa"/>
            <w:vMerge/>
            <w:vAlign w:val="center"/>
          </w:tcPr>
          <w:p w:rsidR="00721F6C" w:rsidRPr="00CA4FD9" w:rsidRDefault="00721F6C" w:rsidP="00D254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:rsidR="00721F6C" w:rsidRPr="00CA4FD9" w:rsidRDefault="00721F6C" w:rsidP="00D2547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21F6C" w:rsidRPr="00CA4FD9" w:rsidRDefault="00721F6C" w:rsidP="00D2547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721F6C" w:rsidRPr="00CA4FD9" w:rsidRDefault="00721F6C" w:rsidP="00D25475">
            <w:pPr>
              <w:suppressAutoHyphens/>
              <w:rPr>
                <w:rFonts w:eastAsia="Calibri"/>
                <w:kern w:val="2"/>
                <w:sz w:val="20"/>
                <w:szCs w:val="20"/>
                <w:lang w:eastAsia="ar-SA"/>
              </w:rPr>
            </w:pPr>
            <w:r w:rsidRPr="00CA4FD9">
              <w:rPr>
                <w:rFonts w:eastAsia="Calibri"/>
                <w:kern w:val="2"/>
                <w:sz w:val="20"/>
                <w:szCs w:val="20"/>
                <w:lang w:eastAsia="ar-SA"/>
              </w:rPr>
              <w:t>12 – для прочих объектов капитального строительства</w:t>
            </w:r>
          </w:p>
        </w:tc>
      </w:tr>
      <w:tr w:rsidR="00721F6C" w:rsidRPr="00CA4FD9" w:rsidTr="00D25475">
        <w:trPr>
          <w:trHeight w:val="64"/>
        </w:trPr>
        <w:tc>
          <w:tcPr>
            <w:tcW w:w="567" w:type="dxa"/>
            <w:vMerge/>
            <w:vAlign w:val="center"/>
          </w:tcPr>
          <w:p w:rsidR="00721F6C" w:rsidRPr="00CA4FD9" w:rsidRDefault="00721F6C" w:rsidP="00D254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:rsidR="00721F6C" w:rsidRPr="00CA4FD9" w:rsidRDefault="00721F6C" w:rsidP="00D2547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21F6C" w:rsidRPr="00CA4FD9" w:rsidRDefault="00721F6C" w:rsidP="00D2547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721F6C" w:rsidRPr="00CA4FD9" w:rsidRDefault="00721F6C" w:rsidP="00D25475">
            <w:pPr>
              <w:suppressAutoHyphens/>
              <w:rPr>
                <w:rFonts w:eastAsia="Calibri"/>
                <w:kern w:val="2"/>
                <w:sz w:val="20"/>
                <w:szCs w:val="20"/>
                <w:lang w:eastAsia="ar-SA"/>
              </w:rPr>
            </w:pPr>
            <w:r w:rsidRPr="00CA4FD9">
              <w:rPr>
                <w:rFonts w:eastAsia="Calibri"/>
                <w:kern w:val="2"/>
                <w:sz w:val="20"/>
                <w:szCs w:val="20"/>
                <w:lang w:eastAsia="ar-SA"/>
              </w:rPr>
              <w:t>3 – для вспомогательных объектов</w:t>
            </w:r>
          </w:p>
        </w:tc>
      </w:tr>
      <w:tr w:rsidR="00721F6C" w:rsidRPr="00CA4FD9" w:rsidTr="00D25475">
        <w:trPr>
          <w:trHeight w:val="64"/>
        </w:trPr>
        <w:tc>
          <w:tcPr>
            <w:tcW w:w="567" w:type="dxa"/>
            <w:vAlign w:val="center"/>
          </w:tcPr>
          <w:p w:rsidR="00721F6C" w:rsidRPr="00CA4FD9" w:rsidRDefault="00721F6C" w:rsidP="00D25475">
            <w:pPr>
              <w:jc w:val="center"/>
              <w:rPr>
                <w:sz w:val="20"/>
                <w:szCs w:val="20"/>
              </w:rPr>
            </w:pPr>
            <w:r w:rsidRPr="00CA4FD9">
              <w:rPr>
                <w:sz w:val="20"/>
                <w:szCs w:val="20"/>
              </w:rPr>
              <w:t>8</w:t>
            </w:r>
          </w:p>
        </w:tc>
        <w:tc>
          <w:tcPr>
            <w:tcW w:w="2977" w:type="dxa"/>
            <w:vAlign w:val="center"/>
          </w:tcPr>
          <w:p w:rsidR="00721F6C" w:rsidRPr="00CA4FD9" w:rsidRDefault="00721F6C" w:rsidP="00D25475">
            <w:pPr>
              <w:rPr>
                <w:sz w:val="20"/>
                <w:szCs w:val="20"/>
              </w:rPr>
            </w:pPr>
            <w:r w:rsidRPr="00CA4FD9">
              <w:rPr>
                <w:sz w:val="20"/>
                <w:szCs w:val="20"/>
              </w:rPr>
              <w:t>Предельная высота сооружений</w:t>
            </w:r>
          </w:p>
        </w:tc>
        <w:tc>
          <w:tcPr>
            <w:tcW w:w="1276" w:type="dxa"/>
            <w:vAlign w:val="center"/>
          </w:tcPr>
          <w:p w:rsidR="00721F6C" w:rsidRPr="00CA4FD9" w:rsidRDefault="00721F6C" w:rsidP="00D2547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A4FD9">
              <w:rPr>
                <w:sz w:val="20"/>
                <w:szCs w:val="20"/>
              </w:rPr>
              <w:t>м</w:t>
            </w:r>
          </w:p>
        </w:tc>
        <w:tc>
          <w:tcPr>
            <w:tcW w:w="4819" w:type="dxa"/>
            <w:vAlign w:val="center"/>
          </w:tcPr>
          <w:p w:rsidR="00721F6C" w:rsidRPr="00CA4FD9" w:rsidRDefault="00721F6C" w:rsidP="00D25475">
            <w:pPr>
              <w:suppressAutoHyphens/>
              <w:jc w:val="center"/>
              <w:rPr>
                <w:rFonts w:eastAsia="Calibri"/>
                <w:kern w:val="2"/>
                <w:sz w:val="20"/>
                <w:szCs w:val="20"/>
                <w:lang w:eastAsia="ar-SA"/>
              </w:rPr>
            </w:pPr>
            <w:r w:rsidRPr="00CA4FD9">
              <w:rPr>
                <w:rFonts w:eastAsia="Calibri"/>
                <w:kern w:val="2"/>
                <w:sz w:val="20"/>
                <w:szCs w:val="20"/>
                <w:lang w:eastAsia="ar-SA"/>
              </w:rPr>
              <w:t>40</w:t>
            </w:r>
          </w:p>
        </w:tc>
      </w:tr>
      <w:tr w:rsidR="00721F6C" w:rsidRPr="00CA4FD9" w:rsidTr="00D25475">
        <w:trPr>
          <w:trHeight w:val="525"/>
        </w:trPr>
        <w:tc>
          <w:tcPr>
            <w:tcW w:w="567" w:type="dxa"/>
            <w:vMerge w:val="restart"/>
            <w:vAlign w:val="center"/>
          </w:tcPr>
          <w:p w:rsidR="00721F6C" w:rsidRPr="00CA4FD9" w:rsidRDefault="00721F6C" w:rsidP="00D254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4FD9">
              <w:rPr>
                <w:sz w:val="20"/>
                <w:szCs w:val="20"/>
              </w:rPr>
              <w:t>9</w:t>
            </w:r>
          </w:p>
        </w:tc>
        <w:tc>
          <w:tcPr>
            <w:tcW w:w="2977" w:type="dxa"/>
            <w:vMerge w:val="restart"/>
            <w:vAlign w:val="center"/>
          </w:tcPr>
          <w:p w:rsidR="00721F6C" w:rsidRPr="00CA4FD9" w:rsidRDefault="00721F6C" w:rsidP="00D254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4FD9">
              <w:rPr>
                <w:sz w:val="20"/>
                <w:szCs w:val="20"/>
              </w:rPr>
              <w:t>Максимальная высота ограждений земельных участков, выполненных в «глухом» или «прозрачном» исполнении</w:t>
            </w:r>
          </w:p>
        </w:tc>
        <w:tc>
          <w:tcPr>
            <w:tcW w:w="1276" w:type="dxa"/>
            <w:vMerge w:val="restart"/>
            <w:vAlign w:val="center"/>
          </w:tcPr>
          <w:p w:rsidR="00721F6C" w:rsidRPr="00CA4FD9" w:rsidRDefault="00721F6C" w:rsidP="00D2547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CA4FD9">
              <w:rPr>
                <w:sz w:val="20"/>
                <w:szCs w:val="20"/>
              </w:rPr>
              <w:t>м</w:t>
            </w:r>
          </w:p>
        </w:tc>
        <w:tc>
          <w:tcPr>
            <w:tcW w:w="4819" w:type="dxa"/>
            <w:vAlign w:val="center"/>
          </w:tcPr>
          <w:p w:rsidR="00721F6C" w:rsidRPr="00CA4FD9" w:rsidRDefault="00721F6C" w:rsidP="00D25475">
            <w:pPr>
              <w:suppressAutoHyphens/>
              <w:rPr>
                <w:rFonts w:eastAsia="Calibri"/>
                <w:kern w:val="2"/>
                <w:sz w:val="20"/>
                <w:szCs w:val="20"/>
                <w:lang w:eastAsia="ar-SA"/>
              </w:rPr>
            </w:pPr>
            <w:r w:rsidRPr="00CA4FD9">
              <w:rPr>
                <w:rFonts w:eastAsia="Calibri"/>
                <w:kern w:val="2"/>
                <w:sz w:val="20"/>
                <w:szCs w:val="20"/>
                <w:lang w:eastAsia="ar-SA"/>
              </w:rPr>
              <w:t xml:space="preserve">1,8 – для </w:t>
            </w:r>
            <w:r w:rsidRPr="00CA4FD9">
              <w:rPr>
                <w:sz w:val="20"/>
                <w:szCs w:val="20"/>
              </w:rPr>
              <w:t>земельных участков жилой застройки</w:t>
            </w:r>
          </w:p>
        </w:tc>
      </w:tr>
      <w:tr w:rsidR="00721F6C" w:rsidRPr="00CA4FD9" w:rsidTr="00D25475">
        <w:trPr>
          <w:trHeight w:val="840"/>
        </w:trPr>
        <w:tc>
          <w:tcPr>
            <w:tcW w:w="567" w:type="dxa"/>
            <w:vMerge/>
            <w:vAlign w:val="center"/>
          </w:tcPr>
          <w:p w:rsidR="00721F6C" w:rsidRPr="00CA4FD9" w:rsidRDefault="00721F6C" w:rsidP="00D254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:rsidR="00721F6C" w:rsidRPr="00CA4FD9" w:rsidRDefault="00721F6C" w:rsidP="00D254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21F6C" w:rsidRPr="00CA4FD9" w:rsidRDefault="00721F6C" w:rsidP="00D2547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721F6C" w:rsidRPr="00CA4FD9" w:rsidRDefault="00721F6C" w:rsidP="00D25475">
            <w:pPr>
              <w:suppressAutoHyphens/>
              <w:rPr>
                <w:rFonts w:eastAsia="Calibri"/>
                <w:kern w:val="2"/>
                <w:sz w:val="20"/>
                <w:szCs w:val="20"/>
                <w:lang w:eastAsia="ar-SA"/>
              </w:rPr>
            </w:pPr>
            <w:r w:rsidRPr="00CA4FD9">
              <w:rPr>
                <w:sz w:val="20"/>
                <w:szCs w:val="20"/>
              </w:rPr>
              <w:t xml:space="preserve">2,5 </w:t>
            </w:r>
            <w:r w:rsidRPr="00CA4FD9">
              <w:rPr>
                <w:rFonts w:eastAsia="Calibri"/>
                <w:kern w:val="2"/>
                <w:sz w:val="20"/>
                <w:szCs w:val="20"/>
                <w:lang w:eastAsia="ar-SA"/>
              </w:rPr>
              <w:t>–</w:t>
            </w:r>
            <w:r w:rsidRPr="00CA4FD9">
              <w:rPr>
                <w:sz w:val="20"/>
                <w:szCs w:val="20"/>
              </w:rPr>
              <w:t xml:space="preserve"> </w:t>
            </w:r>
            <w:r w:rsidRPr="00CA4FD9">
              <w:rPr>
                <w:rFonts w:eastAsia="Calibri"/>
                <w:kern w:val="2"/>
                <w:sz w:val="20"/>
                <w:szCs w:val="20"/>
                <w:lang w:eastAsia="ar-SA"/>
              </w:rPr>
              <w:t xml:space="preserve">для </w:t>
            </w:r>
            <w:r w:rsidRPr="00CA4FD9">
              <w:rPr>
                <w:sz w:val="20"/>
                <w:szCs w:val="20"/>
              </w:rPr>
              <w:t>земельных участков, на которых осуществляется ведение пчеловодства</w:t>
            </w:r>
          </w:p>
        </w:tc>
      </w:tr>
    </w:tbl>
    <w:p w:rsidR="00721F6C" w:rsidRDefault="00721F6C" w:rsidP="00721F6C">
      <w:pPr>
        <w:widowControl w:val="0"/>
        <w:tabs>
          <w:tab w:val="left" w:pos="709"/>
        </w:tabs>
        <w:ind w:right="159" w:firstLine="567"/>
        <w:jc w:val="both"/>
        <w:rPr>
          <w:b/>
          <w:color w:val="000000"/>
        </w:rPr>
      </w:pPr>
    </w:p>
    <w:p w:rsidR="00721F6C" w:rsidRDefault="00721F6C" w:rsidP="00721F6C">
      <w:pPr>
        <w:widowControl w:val="0"/>
        <w:tabs>
          <w:tab w:val="left" w:pos="709"/>
        </w:tabs>
        <w:ind w:right="159" w:firstLine="709"/>
        <w:jc w:val="both"/>
        <w:rPr>
          <w:b/>
          <w:color w:val="000000"/>
        </w:rPr>
      </w:pPr>
      <w:r>
        <w:rPr>
          <w:b/>
          <w:color w:val="000000"/>
        </w:rPr>
        <w:t>Технические условия подключения объекта к сетям инженерно-технического обеспечения</w:t>
      </w:r>
    </w:p>
    <w:p w:rsidR="00721F6C" w:rsidRPr="00DE7F9D" w:rsidRDefault="00721F6C" w:rsidP="00721F6C">
      <w:pPr>
        <w:ind w:firstLine="708"/>
        <w:jc w:val="both"/>
      </w:pPr>
      <w:r w:rsidRPr="00DE7F9D">
        <w:t xml:space="preserve">Распределительных газопроводов в границах земельного участка нет. Имеется техническая возможность подключения </w:t>
      </w:r>
      <w:r>
        <w:t>(технологического присоединения) к газопроводу низкого давления Д.159 по ул. Кинягильская.</w:t>
      </w:r>
    </w:p>
    <w:p w:rsidR="00721F6C" w:rsidRDefault="00721F6C" w:rsidP="00721F6C">
      <w:pPr>
        <w:ind w:firstLine="708"/>
        <w:jc w:val="both"/>
      </w:pPr>
      <w:r w:rsidRPr="003E4B11">
        <w:t>Водо</w:t>
      </w:r>
      <w:r>
        <w:t>снабжение – техническая возможность центрального водоснабжения</w:t>
      </w:r>
      <w:r w:rsidRPr="003E4B11">
        <w:t xml:space="preserve"> </w:t>
      </w:r>
      <w:r>
        <w:t>имеется</w:t>
      </w:r>
      <w:r w:rsidRPr="003E4B11">
        <w:t>.</w:t>
      </w:r>
      <w:r>
        <w:t xml:space="preserve"> Точка подключения – водопроводная сеть Д.50 по ул. </w:t>
      </w:r>
      <w:proofErr w:type="spellStart"/>
      <w:r>
        <w:t>Кинягильской</w:t>
      </w:r>
      <w:proofErr w:type="spellEnd"/>
      <w:r>
        <w:t xml:space="preserve">. Требуется строительство магистрального водопровода по ул. </w:t>
      </w:r>
      <w:proofErr w:type="spellStart"/>
      <w:r>
        <w:t>Кинягильской</w:t>
      </w:r>
      <w:proofErr w:type="spellEnd"/>
      <w:r>
        <w:t xml:space="preserve"> от жилого дома 37, диаметром не менее 50 мм, протяженностью 350 метров, давление в точке подключения 1 </w:t>
      </w:r>
      <w:proofErr w:type="spellStart"/>
      <w:proofErr w:type="gramStart"/>
      <w:r>
        <w:t>атм</w:t>
      </w:r>
      <w:proofErr w:type="spellEnd"/>
      <w:proofErr w:type="gramEnd"/>
      <w:r>
        <w:t xml:space="preserve">, максимальный объем воды 1 </w:t>
      </w:r>
      <w:proofErr w:type="spellStart"/>
      <w:r>
        <w:t>куб.м</w:t>
      </w:r>
      <w:proofErr w:type="spellEnd"/>
      <w:r>
        <w:t>/</w:t>
      </w:r>
      <w:proofErr w:type="spellStart"/>
      <w:r>
        <w:t>сут</w:t>
      </w:r>
      <w:proofErr w:type="spellEnd"/>
      <w:r>
        <w:t>.</w:t>
      </w:r>
      <w:r w:rsidRPr="003E4B11">
        <w:t xml:space="preserve"> </w:t>
      </w:r>
    </w:p>
    <w:p w:rsidR="00721F6C" w:rsidRDefault="00721F6C" w:rsidP="00721F6C">
      <w:pPr>
        <w:ind w:firstLine="708"/>
        <w:jc w:val="both"/>
      </w:pPr>
      <w:r w:rsidRPr="00452AB3">
        <w:t xml:space="preserve">Электроснабжение - технологическое присоединение </w:t>
      </w:r>
      <w:proofErr w:type="spellStart"/>
      <w:r w:rsidRPr="00452AB3">
        <w:t>энергопринимающих</w:t>
      </w:r>
      <w:proofErr w:type="spellEnd"/>
      <w:r w:rsidRPr="00452AB3">
        <w:t xml:space="preserve"> устройств потребителей электрической энергии осуществляется в порядке, определенном «Правилами технологического присоединения </w:t>
      </w:r>
      <w:proofErr w:type="spellStart"/>
      <w:r w:rsidRPr="00452AB3">
        <w:t>энергопринимающих</w:t>
      </w:r>
      <w:proofErr w:type="spellEnd"/>
      <w:r w:rsidRPr="00452AB3"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утвержденными Постановлением Правительства РФ от 27 декабря 2004 г. № 861.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542"/>
        <w:gridCol w:w="2463"/>
        <w:gridCol w:w="2464"/>
      </w:tblGrid>
      <w:tr w:rsidR="00721F6C" w:rsidTr="00D25475">
        <w:tc>
          <w:tcPr>
            <w:tcW w:w="1384" w:type="dxa"/>
            <w:shd w:val="clear" w:color="auto" w:fill="auto"/>
          </w:tcPr>
          <w:p w:rsidR="00721F6C" w:rsidRDefault="00721F6C" w:rsidP="00D25475">
            <w:pPr>
              <w:jc w:val="both"/>
            </w:pPr>
          </w:p>
        </w:tc>
        <w:tc>
          <w:tcPr>
            <w:tcW w:w="3542" w:type="dxa"/>
            <w:shd w:val="clear" w:color="auto" w:fill="auto"/>
            <w:vAlign w:val="center"/>
          </w:tcPr>
          <w:p w:rsidR="00721F6C" w:rsidRPr="00794BB9" w:rsidRDefault="00721F6C" w:rsidP="00D25475">
            <w:pPr>
              <w:rPr>
                <w:b/>
                <w:color w:val="000000"/>
              </w:rPr>
            </w:pPr>
            <w:r w:rsidRPr="00794BB9">
              <w:rPr>
                <w:b/>
                <w:color w:val="000000"/>
              </w:rPr>
              <w:t xml:space="preserve">Начальная цена предмета аукциона </w:t>
            </w:r>
          </w:p>
          <w:p w:rsidR="00721F6C" w:rsidRPr="00794BB9" w:rsidRDefault="00721F6C" w:rsidP="00D25475">
            <w:pPr>
              <w:rPr>
                <w:b/>
                <w:color w:val="000000"/>
              </w:rPr>
            </w:pPr>
            <w:r w:rsidRPr="00794BB9">
              <w:rPr>
                <w:color w:val="000000"/>
              </w:rPr>
              <w:t>(в размере 1,5 % кадастровой стоимости земельного участка), руб.</w:t>
            </w:r>
          </w:p>
        </w:tc>
        <w:tc>
          <w:tcPr>
            <w:tcW w:w="2463" w:type="dxa"/>
            <w:shd w:val="clear" w:color="auto" w:fill="auto"/>
          </w:tcPr>
          <w:p w:rsidR="00721F6C" w:rsidRPr="00794BB9" w:rsidRDefault="00721F6C" w:rsidP="00D25475">
            <w:pPr>
              <w:rPr>
                <w:b/>
                <w:color w:val="000000"/>
              </w:rPr>
            </w:pPr>
            <w:r w:rsidRPr="00794BB9">
              <w:rPr>
                <w:b/>
                <w:color w:val="000000"/>
              </w:rPr>
              <w:t>«Шаг аукциона»</w:t>
            </w:r>
          </w:p>
          <w:p w:rsidR="00721F6C" w:rsidRDefault="00721F6C" w:rsidP="00D25475">
            <w:pPr>
              <w:jc w:val="both"/>
            </w:pPr>
            <w:r w:rsidRPr="00794BB9">
              <w:rPr>
                <w:color w:val="000000"/>
              </w:rPr>
              <w:t>(3% начальной цены предмета аукциона), руб.</w:t>
            </w:r>
          </w:p>
        </w:tc>
        <w:tc>
          <w:tcPr>
            <w:tcW w:w="2464" w:type="dxa"/>
            <w:shd w:val="clear" w:color="auto" w:fill="auto"/>
          </w:tcPr>
          <w:p w:rsidR="00721F6C" w:rsidRPr="00794BB9" w:rsidRDefault="00721F6C" w:rsidP="00D25475">
            <w:pPr>
              <w:rPr>
                <w:b/>
                <w:color w:val="000000"/>
              </w:rPr>
            </w:pPr>
            <w:r w:rsidRPr="00794BB9">
              <w:rPr>
                <w:b/>
                <w:color w:val="000000"/>
              </w:rPr>
              <w:t>Размер задатка</w:t>
            </w:r>
          </w:p>
          <w:p w:rsidR="00721F6C" w:rsidRDefault="00721F6C" w:rsidP="00D25475">
            <w:pPr>
              <w:jc w:val="both"/>
            </w:pPr>
            <w:r w:rsidRPr="00794BB9">
              <w:rPr>
                <w:color w:val="000000"/>
              </w:rPr>
              <w:t>(20 % начальной цены предмета аукциона), руб.</w:t>
            </w:r>
          </w:p>
        </w:tc>
      </w:tr>
      <w:tr w:rsidR="00721F6C" w:rsidTr="00D25475">
        <w:tc>
          <w:tcPr>
            <w:tcW w:w="1384" w:type="dxa"/>
            <w:shd w:val="clear" w:color="auto" w:fill="auto"/>
          </w:tcPr>
          <w:p w:rsidR="00721F6C" w:rsidRDefault="00721F6C" w:rsidP="00D25475">
            <w:pPr>
              <w:jc w:val="both"/>
            </w:pPr>
            <w:r w:rsidRPr="00794BB9">
              <w:rPr>
                <w:b/>
                <w:color w:val="000000"/>
              </w:rPr>
              <w:t>Лот № 1</w:t>
            </w:r>
          </w:p>
        </w:tc>
        <w:tc>
          <w:tcPr>
            <w:tcW w:w="3542" w:type="dxa"/>
            <w:shd w:val="clear" w:color="auto" w:fill="auto"/>
          </w:tcPr>
          <w:p w:rsidR="00721F6C" w:rsidRDefault="00721F6C" w:rsidP="00D25475">
            <w:pPr>
              <w:jc w:val="center"/>
            </w:pPr>
            <w:r>
              <w:t>3354,37</w:t>
            </w:r>
          </w:p>
        </w:tc>
        <w:tc>
          <w:tcPr>
            <w:tcW w:w="2463" w:type="dxa"/>
            <w:shd w:val="clear" w:color="auto" w:fill="auto"/>
          </w:tcPr>
          <w:p w:rsidR="00721F6C" w:rsidRDefault="00721F6C" w:rsidP="00D25475">
            <w:pPr>
              <w:jc w:val="center"/>
            </w:pPr>
            <w:r>
              <w:t>100,63</w:t>
            </w:r>
          </w:p>
        </w:tc>
        <w:tc>
          <w:tcPr>
            <w:tcW w:w="2464" w:type="dxa"/>
            <w:shd w:val="clear" w:color="auto" w:fill="auto"/>
          </w:tcPr>
          <w:p w:rsidR="00721F6C" w:rsidRDefault="00721F6C" w:rsidP="00D25475">
            <w:pPr>
              <w:jc w:val="center"/>
            </w:pPr>
            <w:r>
              <w:t>670,87</w:t>
            </w:r>
          </w:p>
        </w:tc>
      </w:tr>
      <w:tr w:rsidR="00721F6C" w:rsidTr="00D25475">
        <w:tc>
          <w:tcPr>
            <w:tcW w:w="1384" w:type="dxa"/>
            <w:shd w:val="clear" w:color="auto" w:fill="auto"/>
          </w:tcPr>
          <w:p w:rsidR="00721F6C" w:rsidRDefault="00721F6C" w:rsidP="00D25475">
            <w:pPr>
              <w:jc w:val="both"/>
            </w:pPr>
            <w:r w:rsidRPr="00794BB9">
              <w:rPr>
                <w:b/>
                <w:color w:val="000000"/>
              </w:rPr>
              <w:t>Лот № 2</w:t>
            </w:r>
          </w:p>
        </w:tc>
        <w:tc>
          <w:tcPr>
            <w:tcW w:w="3542" w:type="dxa"/>
            <w:shd w:val="clear" w:color="auto" w:fill="auto"/>
          </w:tcPr>
          <w:p w:rsidR="00721F6C" w:rsidRDefault="00721F6C" w:rsidP="00D25475">
            <w:pPr>
              <w:jc w:val="center"/>
            </w:pPr>
            <w:r>
              <w:t>3308,40</w:t>
            </w:r>
          </w:p>
        </w:tc>
        <w:tc>
          <w:tcPr>
            <w:tcW w:w="2463" w:type="dxa"/>
            <w:shd w:val="clear" w:color="auto" w:fill="auto"/>
          </w:tcPr>
          <w:p w:rsidR="00721F6C" w:rsidRDefault="00721F6C" w:rsidP="00D25475">
            <w:pPr>
              <w:jc w:val="center"/>
            </w:pPr>
            <w:r>
              <w:t>99,25</w:t>
            </w:r>
          </w:p>
        </w:tc>
        <w:tc>
          <w:tcPr>
            <w:tcW w:w="2464" w:type="dxa"/>
            <w:shd w:val="clear" w:color="auto" w:fill="auto"/>
          </w:tcPr>
          <w:p w:rsidR="00721F6C" w:rsidRDefault="00721F6C" w:rsidP="00D25475">
            <w:pPr>
              <w:jc w:val="center"/>
            </w:pPr>
            <w:r>
              <w:t>661,68</w:t>
            </w:r>
          </w:p>
        </w:tc>
      </w:tr>
    </w:tbl>
    <w:p w:rsidR="00721F6C" w:rsidRPr="004E6CF3" w:rsidRDefault="00721F6C" w:rsidP="00721F6C">
      <w:pPr>
        <w:ind w:firstLine="709"/>
        <w:jc w:val="both"/>
        <w:rPr>
          <w:color w:val="000000"/>
        </w:rPr>
      </w:pPr>
      <w:r w:rsidRPr="00A91950">
        <w:rPr>
          <w:b/>
          <w:color w:val="000000"/>
        </w:rPr>
        <w:t>Для участия в аукционе заявителю необходимо внести задаток</w:t>
      </w:r>
      <w:r w:rsidRPr="00662E0B">
        <w:rPr>
          <w:color w:val="000000"/>
        </w:rPr>
        <w:t xml:space="preserve">, который перечисляется </w:t>
      </w:r>
      <w:r w:rsidRPr="0015048D">
        <w:rPr>
          <w:color w:val="000000"/>
        </w:rPr>
        <w:t xml:space="preserve">на счет получателя: </w:t>
      </w:r>
      <w:r w:rsidRPr="003E15E8">
        <w:t xml:space="preserve">Управление Федерального казначейства по Удмуртской Республике (Администрация Можгинского района) ИНН </w:t>
      </w:r>
      <w:r>
        <w:t>1839012175</w:t>
      </w:r>
      <w:r w:rsidRPr="003E15E8">
        <w:t>, КПП 183901001</w:t>
      </w:r>
      <w:r w:rsidRPr="00CA472D">
        <w:t xml:space="preserve">, л/с 05577171350, </w:t>
      </w:r>
      <w:proofErr w:type="gramStart"/>
      <w:r w:rsidRPr="00CA472D">
        <w:t>р</w:t>
      </w:r>
      <w:proofErr w:type="gramEnd"/>
      <w:r w:rsidRPr="00CA472D">
        <w:t xml:space="preserve">/с </w:t>
      </w:r>
      <w:r>
        <w:t>03232643945350001300</w:t>
      </w:r>
      <w:r w:rsidRPr="003E15E8">
        <w:t>, к/с 40102810545370000081, БИК 019401100, ОТДЕЛЕНИЕ-НБ УДМУРТСКАЯ РЕСПУБЛИКА БАНКА РОССИИ//УФК по Удмуртской Республике г. Ижевск, назначение платежа:</w:t>
      </w:r>
      <w:r w:rsidRPr="00056441">
        <w:rPr>
          <w:color w:val="000000"/>
        </w:rPr>
        <w:t xml:space="preserve"> «З</w:t>
      </w:r>
      <w:r>
        <w:rPr>
          <w:color w:val="000000"/>
        </w:rPr>
        <w:t>адаток на участие в аукционе на право заключения договора аренды земельного участка</w:t>
      </w:r>
      <w:r w:rsidRPr="00056441">
        <w:rPr>
          <w:color w:val="000000"/>
        </w:rPr>
        <w:t>»</w:t>
      </w:r>
      <w:r w:rsidRPr="004E6CF3">
        <w:rPr>
          <w:color w:val="000000"/>
        </w:rPr>
        <w:t>.</w:t>
      </w:r>
    </w:p>
    <w:p w:rsidR="00721F6C" w:rsidRDefault="00721F6C" w:rsidP="00721F6C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Заявителям, не допущенным к участию в аукционе, внесенный ими задаток возвращается в течение трех рабочих дней со дня оформления протокола приема заявок на участие в аукционе. </w:t>
      </w:r>
    </w:p>
    <w:p w:rsidR="00721F6C" w:rsidRDefault="00721F6C" w:rsidP="00721F6C">
      <w:pPr>
        <w:ind w:firstLine="709"/>
        <w:jc w:val="both"/>
      </w:pPr>
      <w:r>
        <w:t>Лицам, участвующим в аукционе, но не победившим в нем, задаток возвращается в течение трех рабочих дней со дня подписания протокола о результатах аукциона.</w:t>
      </w:r>
    </w:p>
    <w:p w:rsidR="00721F6C" w:rsidRPr="00DD7C49" w:rsidRDefault="00721F6C" w:rsidP="00721F6C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 w:rsidRPr="00DD7C49">
        <w:rPr>
          <w:b/>
        </w:rPr>
        <w:t>Порядок подачи</w:t>
      </w:r>
      <w:r>
        <w:rPr>
          <w:b/>
        </w:rPr>
        <w:t xml:space="preserve"> заявки на участие в аукционе</w:t>
      </w:r>
    </w:p>
    <w:p w:rsidR="00721F6C" w:rsidRDefault="00721F6C" w:rsidP="00721F6C">
      <w:pPr>
        <w:pStyle w:val="a3"/>
        <w:spacing w:before="0" w:beforeAutospacing="0" w:after="0" w:afterAutospacing="0"/>
        <w:ind w:firstLine="709"/>
        <w:jc w:val="both"/>
      </w:pPr>
      <w:r>
        <w:t xml:space="preserve">После того, как на расчетный счет, указанный выше, внесены денежные средства в размере задатка, заявитель обращается к организатору аукциона для подачи заявки на участие в аукционе. </w:t>
      </w:r>
    </w:p>
    <w:p w:rsidR="00721F6C" w:rsidRDefault="00721F6C" w:rsidP="00721F6C">
      <w:pPr>
        <w:pStyle w:val="a3"/>
        <w:spacing w:before="0" w:beforeAutospacing="0" w:after="0" w:afterAutospacing="0"/>
        <w:ind w:firstLine="709"/>
        <w:jc w:val="both"/>
      </w:pPr>
      <w:r>
        <w:t>Для участия в аукционе заявители представляют следующие документы:</w:t>
      </w:r>
    </w:p>
    <w:p w:rsidR="00721F6C" w:rsidRDefault="00721F6C" w:rsidP="00721F6C">
      <w:pPr>
        <w:pStyle w:val="a3"/>
        <w:spacing w:before="0" w:beforeAutospacing="0" w:after="0" w:afterAutospacing="0"/>
        <w:ind w:firstLine="709"/>
        <w:jc w:val="both"/>
      </w:pPr>
      <w:r>
        <w:t xml:space="preserve">1. Заявка </w:t>
      </w:r>
      <w:proofErr w:type="gramStart"/>
      <w:r>
        <w:t xml:space="preserve">на участие в аукционе с указанием  банковских реквизитов счета для  возврата задатка </w:t>
      </w:r>
      <w:r w:rsidRPr="003C15C5">
        <w:rPr>
          <w:b/>
        </w:rPr>
        <w:t>по форме</w:t>
      </w:r>
      <w:proofErr w:type="gramEnd"/>
      <w:r w:rsidRPr="003C15C5">
        <w:rPr>
          <w:b/>
        </w:rPr>
        <w:t>, прилагаемой к настоящему извещению</w:t>
      </w:r>
      <w:r>
        <w:t xml:space="preserve">  в двух экземплярах, один из которых остается  у организатора аукциона, другой – у претендента. </w:t>
      </w:r>
    </w:p>
    <w:p w:rsidR="00721F6C" w:rsidRDefault="00721F6C" w:rsidP="00721F6C">
      <w:pPr>
        <w:pStyle w:val="a3"/>
        <w:spacing w:before="0" w:beforeAutospacing="0" w:after="0" w:afterAutospacing="0"/>
        <w:ind w:firstLine="709"/>
        <w:jc w:val="both"/>
      </w:pPr>
      <w:r>
        <w:t xml:space="preserve">2. Копия  </w:t>
      </w:r>
      <w:r w:rsidRPr="009C56F3">
        <w:t>документа, удостоверяющего личность.</w:t>
      </w:r>
    </w:p>
    <w:p w:rsidR="00721F6C" w:rsidRDefault="00721F6C" w:rsidP="00721F6C">
      <w:pPr>
        <w:pStyle w:val="a3"/>
        <w:spacing w:before="0" w:beforeAutospacing="0" w:after="0" w:afterAutospacing="0"/>
        <w:ind w:firstLine="709"/>
        <w:jc w:val="both"/>
      </w:pPr>
      <w:r>
        <w:t>3. Документы, подтверждающие внесение задатка.</w:t>
      </w:r>
    </w:p>
    <w:p w:rsidR="00721F6C" w:rsidRDefault="00721F6C" w:rsidP="00721F6C">
      <w:pPr>
        <w:pStyle w:val="a3"/>
        <w:spacing w:before="0" w:beforeAutospacing="0" w:after="0" w:afterAutospacing="0"/>
        <w:ind w:firstLine="709"/>
        <w:jc w:val="both"/>
      </w:pPr>
      <w:r>
        <w:t>Представление документов, подтверждающих внесение задатка, признается заключением соглашения о задатке.</w:t>
      </w:r>
    </w:p>
    <w:p w:rsidR="00721F6C" w:rsidRDefault="00721F6C" w:rsidP="00721F6C">
      <w:pPr>
        <w:ind w:firstLine="709"/>
        <w:jc w:val="both"/>
      </w:pPr>
      <w:r w:rsidRPr="00F434CA">
        <w:rPr>
          <w:b/>
        </w:rPr>
        <w:t>Заявка на участие в аукционе и прилагаемые к ней документы принимаются по адресу</w:t>
      </w:r>
      <w:r w:rsidRPr="00F434CA">
        <w:t>: 427790, Удмуртская Республика, город Можга, улица Можгинская, 59, Администрация муниципального образования «</w:t>
      </w:r>
      <w:r>
        <w:t xml:space="preserve">Муниципальный округ </w:t>
      </w:r>
      <w:r w:rsidRPr="00F434CA">
        <w:t>Можгинский район</w:t>
      </w:r>
      <w:r>
        <w:t xml:space="preserve"> Удмуртской Республики</w:t>
      </w:r>
      <w:r w:rsidRPr="00F434CA">
        <w:t xml:space="preserve">», </w:t>
      </w:r>
      <w:proofErr w:type="spellStart"/>
      <w:r w:rsidRPr="00F434CA">
        <w:t>каб</w:t>
      </w:r>
      <w:proofErr w:type="spellEnd"/>
      <w:r w:rsidRPr="00F434CA">
        <w:t>. 503</w:t>
      </w:r>
      <w:r>
        <w:t>,</w:t>
      </w:r>
      <w:r w:rsidRPr="00F434CA">
        <w:t xml:space="preserve"> лично или посредством почтовой связи на бумажном носителе по прилагаемой форме. Личный прием осуществляется с понедельника по пятницу с 8-00 ч. до 17-00 ч, в предпраздничные дни до 1</w:t>
      </w:r>
      <w:r>
        <w:t>6</w:t>
      </w:r>
      <w:r w:rsidRPr="00F434CA">
        <w:t xml:space="preserve">-00 ч, обеденный перерыв с 12-00 ч. до 13-00 ч, кроме выходных и праздничных дней. </w:t>
      </w:r>
    </w:p>
    <w:p w:rsidR="00721F6C" w:rsidRPr="00BB74CC" w:rsidRDefault="00721F6C" w:rsidP="00721F6C">
      <w:pPr>
        <w:ind w:firstLine="709"/>
        <w:jc w:val="both"/>
        <w:rPr>
          <w:color w:val="000000"/>
        </w:rPr>
      </w:pPr>
      <w:r w:rsidRPr="0015048D">
        <w:rPr>
          <w:b/>
        </w:rPr>
        <w:t>Дата и время начала приема заявок</w:t>
      </w:r>
      <w:r w:rsidRPr="0015048D">
        <w:t xml:space="preserve"> на участие в </w:t>
      </w:r>
      <w:r w:rsidRPr="00BB74CC">
        <w:t xml:space="preserve">аукционе: </w:t>
      </w:r>
      <w:r>
        <w:rPr>
          <w:color w:val="000000"/>
        </w:rPr>
        <w:t>01</w:t>
      </w:r>
      <w:r w:rsidRPr="00FC34EB">
        <w:rPr>
          <w:color w:val="000000"/>
        </w:rPr>
        <w:t xml:space="preserve"> </w:t>
      </w:r>
      <w:r>
        <w:rPr>
          <w:color w:val="000000"/>
        </w:rPr>
        <w:t>августа</w:t>
      </w:r>
      <w:r w:rsidRPr="00FC34EB">
        <w:rPr>
          <w:color w:val="000000"/>
        </w:rPr>
        <w:t xml:space="preserve"> 2025</w:t>
      </w:r>
      <w:r w:rsidRPr="00BB74CC">
        <w:rPr>
          <w:color w:val="000000"/>
        </w:rPr>
        <w:t xml:space="preserve"> г. </w:t>
      </w:r>
      <w:r>
        <w:rPr>
          <w:color w:val="000000"/>
        </w:rPr>
        <w:t>08</w:t>
      </w:r>
      <w:r w:rsidRPr="00BB74CC">
        <w:rPr>
          <w:color w:val="000000"/>
        </w:rPr>
        <w:t>-00 ч.</w:t>
      </w:r>
    </w:p>
    <w:p w:rsidR="00721F6C" w:rsidRPr="002B035F" w:rsidRDefault="00721F6C" w:rsidP="00721F6C">
      <w:pPr>
        <w:ind w:right="-143" w:firstLine="709"/>
        <w:jc w:val="both"/>
      </w:pPr>
      <w:r w:rsidRPr="00BB74CC">
        <w:rPr>
          <w:b/>
          <w:color w:val="000000"/>
        </w:rPr>
        <w:t>Дата и время окончания приема заявок</w:t>
      </w:r>
      <w:r w:rsidRPr="00BB74CC">
        <w:rPr>
          <w:color w:val="000000"/>
        </w:rPr>
        <w:t xml:space="preserve"> на участие в аукционе: </w:t>
      </w:r>
      <w:r w:rsidRPr="00AC2747">
        <w:rPr>
          <w:color w:val="000000"/>
        </w:rPr>
        <w:t>25 августа 2025 г.             17-00</w:t>
      </w:r>
      <w:r w:rsidRPr="00AC2747">
        <w:t xml:space="preserve"> ч.</w:t>
      </w:r>
      <w:r w:rsidRPr="002B035F">
        <w:t xml:space="preserve"> </w:t>
      </w:r>
    </w:p>
    <w:p w:rsidR="00721F6C" w:rsidRPr="0015048D" w:rsidRDefault="00721F6C" w:rsidP="00721F6C">
      <w:pPr>
        <w:ind w:firstLine="709"/>
        <w:jc w:val="both"/>
      </w:pPr>
      <w:r w:rsidRPr="002B035F">
        <w:rPr>
          <w:b/>
        </w:rPr>
        <w:t>Дата определения претендентов участниками аукциона</w:t>
      </w:r>
      <w:r w:rsidRPr="002B035F">
        <w:t xml:space="preserve">: </w:t>
      </w:r>
      <w:r w:rsidRPr="00AC2747">
        <w:t>27 августа</w:t>
      </w:r>
      <w:r w:rsidRPr="000A7F32">
        <w:t xml:space="preserve"> 2025 г. в 15-00 ч. в </w:t>
      </w:r>
      <w:proofErr w:type="spellStart"/>
      <w:r w:rsidRPr="000A7F32">
        <w:t>каб</w:t>
      </w:r>
      <w:proofErr w:type="spellEnd"/>
      <w:r w:rsidRPr="000A7F32">
        <w:t>. 503</w:t>
      </w:r>
      <w:r>
        <w:t xml:space="preserve"> Администрации муниципального образования</w:t>
      </w:r>
      <w:r w:rsidRPr="002B035F">
        <w:t xml:space="preserve"> «</w:t>
      </w:r>
      <w:r>
        <w:t xml:space="preserve">Муниципальный округ </w:t>
      </w:r>
      <w:r w:rsidRPr="002B035F">
        <w:t>Можгинский район</w:t>
      </w:r>
      <w:r>
        <w:t xml:space="preserve"> Удмуртской Республики»</w:t>
      </w:r>
      <w:r w:rsidRPr="002B035F">
        <w:t>.</w:t>
      </w:r>
    </w:p>
    <w:p w:rsidR="00721F6C" w:rsidRDefault="00721F6C" w:rsidP="00721F6C">
      <w:pPr>
        <w:pStyle w:val="a3"/>
        <w:spacing w:before="0" w:beforeAutospacing="0" w:after="0" w:afterAutospacing="0"/>
        <w:ind w:firstLine="709"/>
        <w:jc w:val="both"/>
      </w:pPr>
      <w:r w:rsidRPr="0015048D">
        <w:t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одним из следующих способов</w:t>
      </w:r>
      <w:r>
        <w:t>:</w:t>
      </w:r>
    </w:p>
    <w:p w:rsidR="00721F6C" w:rsidRDefault="00721F6C" w:rsidP="00721F6C">
      <w:pPr>
        <w:pStyle w:val="a3"/>
        <w:spacing w:before="0" w:beforeAutospacing="0" w:after="0" w:afterAutospacing="0"/>
        <w:ind w:firstLine="709"/>
        <w:jc w:val="both"/>
      </w:pPr>
      <w:r>
        <w:t>-  лично;</w:t>
      </w:r>
    </w:p>
    <w:p w:rsidR="00721F6C" w:rsidRDefault="00721F6C" w:rsidP="00721F6C">
      <w:pPr>
        <w:pStyle w:val="a3"/>
        <w:spacing w:before="0" w:beforeAutospacing="0" w:after="0" w:afterAutospacing="0"/>
        <w:ind w:firstLine="709"/>
        <w:jc w:val="both"/>
      </w:pPr>
      <w:r>
        <w:t>- посредством почтового отправления на адрес, указанный в заявке на участие в аукционе;</w:t>
      </w:r>
    </w:p>
    <w:p w:rsidR="00721F6C" w:rsidRDefault="00721F6C" w:rsidP="00721F6C">
      <w:pPr>
        <w:pStyle w:val="a3"/>
        <w:spacing w:before="0" w:beforeAutospacing="0" w:after="0" w:afterAutospacing="0"/>
        <w:ind w:firstLine="709"/>
        <w:jc w:val="both"/>
      </w:pPr>
      <w:r>
        <w:t>- посредством направления уведомления по адресу электронной почты, указанной в заявке на участие в аукционе;</w:t>
      </w:r>
    </w:p>
    <w:p w:rsidR="00721F6C" w:rsidRDefault="00721F6C" w:rsidP="00721F6C">
      <w:pPr>
        <w:pStyle w:val="a3"/>
        <w:spacing w:before="0" w:beforeAutospacing="0" w:after="0" w:afterAutospacing="0"/>
        <w:ind w:firstLine="709"/>
        <w:jc w:val="both"/>
      </w:pPr>
      <w:r>
        <w:t xml:space="preserve">- посредством телефонной связи. </w:t>
      </w:r>
    </w:p>
    <w:p w:rsidR="00721F6C" w:rsidRDefault="00721F6C" w:rsidP="00721F6C">
      <w:pPr>
        <w:pStyle w:val="a3"/>
        <w:spacing w:before="0" w:beforeAutospacing="0" w:after="0" w:afterAutospacing="0"/>
        <w:ind w:firstLine="709"/>
        <w:jc w:val="both"/>
      </w:pPr>
      <w:r w:rsidRPr="003C15C5">
        <w:rPr>
          <w:b/>
        </w:rPr>
        <w:t>Победителем аукциона признается</w:t>
      </w:r>
      <w:r>
        <w:t xml:space="preserve"> участник аукциона, предложивший </w:t>
      </w:r>
      <w:r w:rsidRPr="00DD2F20">
        <w:rPr>
          <w:color w:val="000000"/>
        </w:rPr>
        <w:t>наибольш</w:t>
      </w:r>
      <w:r>
        <w:rPr>
          <w:color w:val="000000"/>
        </w:rPr>
        <w:t>ую</w:t>
      </w:r>
      <w:r w:rsidRPr="00DD2F20">
        <w:rPr>
          <w:color w:val="000000"/>
        </w:rPr>
        <w:t xml:space="preserve"> </w:t>
      </w:r>
      <w:r>
        <w:rPr>
          <w:color w:val="000000"/>
        </w:rPr>
        <w:t>цену</w:t>
      </w:r>
      <w:r w:rsidRPr="00DD2F20">
        <w:rPr>
          <w:color w:val="000000"/>
        </w:rPr>
        <w:t xml:space="preserve"> за земельный участок</w:t>
      </w:r>
      <w:r>
        <w:t xml:space="preserve">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 </w:t>
      </w:r>
    </w:p>
    <w:p w:rsidR="00721F6C" w:rsidRPr="00DD1444" w:rsidRDefault="00721F6C" w:rsidP="00721F6C">
      <w:pPr>
        <w:ind w:firstLine="709"/>
        <w:jc w:val="both"/>
      </w:pPr>
      <w:r w:rsidRPr="00DD1444">
        <w:t>Задаток, внесенный лицом, признанным победителем аукциона, задаток, внесенный иным лицом, с которым зак</w:t>
      </w:r>
      <w:r>
        <w:t xml:space="preserve">лючается договор аренды земельного участка, </w:t>
      </w:r>
      <w:r w:rsidRPr="00DD1444">
        <w:t xml:space="preserve">засчитываются в </w:t>
      </w:r>
      <w:r>
        <w:t>счет арендной платы</w:t>
      </w:r>
      <w:r w:rsidRPr="00DD1444">
        <w:t xml:space="preserve"> </w:t>
      </w:r>
      <w:r>
        <w:t>за него</w:t>
      </w:r>
      <w:r w:rsidRPr="00DD1444">
        <w:t xml:space="preserve">. </w:t>
      </w:r>
    </w:p>
    <w:p w:rsidR="00721F6C" w:rsidRDefault="00721F6C" w:rsidP="00721F6C">
      <w:pPr>
        <w:pStyle w:val="a3"/>
        <w:spacing w:before="0" w:beforeAutospacing="0" w:after="0" w:afterAutospacing="0"/>
        <w:ind w:firstLine="709"/>
        <w:jc w:val="both"/>
      </w:pPr>
      <w:r>
        <w:t xml:space="preserve">Дополнительную информацию по проведению аукциона можно получить у организатора  аукциона по адресу: Удмуртская Республика, город Можга, улица Можгинская, 59, Администрация муниципального образования «Муниципальный округ Можгинский район Удмуртской Республики», </w:t>
      </w:r>
      <w:proofErr w:type="spellStart"/>
      <w:r>
        <w:t>каб</w:t>
      </w:r>
      <w:proofErr w:type="spellEnd"/>
      <w:r>
        <w:t xml:space="preserve">. 503 (отдел имущественных отношений), тел. (34-139) 3-24-84.  </w:t>
      </w:r>
    </w:p>
    <w:p w:rsidR="00721F6C" w:rsidRDefault="00721F6C" w:rsidP="00721F6C">
      <w:pPr>
        <w:widowControl w:val="0"/>
        <w:tabs>
          <w:tab w:val="left" w:pos="567"/>
        </w:tabs>
        <w:suppressAutoHyphens/>
        <w:autoSpaceDE w:val="0"/>
        <w:ind w:right="-1" w:firstLine="709"/>
        <w:jc w:val="both"/>
        <w:rPr>
          <w:b/>
          <w:lang w:eastAsia="ar-SA"/>
        </w:rPr>
      </w:pPr>
      <w:r w:rsidRPr="00A84D54">
        <w:rPr>
          <w:b/>
          <w:lang w:eastAsia="ar-SA"/>
        </w:rPr>
        <w:t xml:space="preserve">Дополнительные условия аукциона: </w:t>
      </w:r>
    </w:p>
    <w:p w:rsidR="00721F6C" w:rsidRDefault="00721F6C" w:rsidP="00721F6C">
      <w:pPr>
        <w:tabs>
          <w:tab w:val="left" w:pos="0"/>
        </w:tabs>
        <w:suppressAutoHyphens/>
        <w:ind w:firstLine="709"/>
        <w:jc w:val="both"/>
        <w:rPr>
          <w:lang w:eastAsia="ar-SA"/>
        </w:rPr>
      </w:pPr>
      <w:proofErr w:type="gramStart"/>
      <w:r>
        <w:rPr>
          <w:lang w:eastAsia="ar-SA"/>
        </w:rPr>
        <w:t xml:space="preserve">В соответствии с пунктом 3.2 статьи 39.13 Земельного кодекса Российской Федерации, пунктом 4(1)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 оператор электронной площадки вправе в соответствии с </w:t>
      </w:r>
      <w:hyperlink r:id="rId5" w:anchor="/document/71941528/entry/1000" w:history="1">
        <w:r w:rsidRPr="008D7F09">
          <w:t>Правилами</w:t>
        </w:r>
      </w:hyperlink>
      <w:r>
        <w:rPr>
          <w:lang w:eastAsia="ar-SA"/>
        </w:rPr>
        <w:t>, утвержденными вышеуказанным постановлением, взимать с победителя аукциона или иного</w:t>
      </w:r>
      <w:proofErr w:type="gramEnd"/>
      <w:r>
        <w:rPr>
          <w:lang w:eastAsia="ar-SA"/>
        </w:rPr>
        <w:t xml:space="preserve"> лица, с которыми в соответствии с </w:t>
      </w:r>
      <w:hyperlink r:id="rId6" w:anchor="/document/12124624/entry/391213" w:history="1">
        <w:r w:rsidRPr="008D7F09">
          <w:t>пунктами 13</w:t>
        </w:r>
      </w:hyperlink>
      <w:r>
        <w:rPr>
          <w:lang w:eastAsia="ar-SA"/>
        </w:rPr>
        <w:t xml:space="preserve">, </w:t>
      </w:r>
      <w:hyperlink r:id="rId7" w:anchor="/document/12124624/entry/391214" w:history="1">
        <w:r w:rsidRPr="008D7F09">
          <w:t>14</w:t>
        </w:r>
      </w:hyperlink>
      <w:r>
        <w:rPr>
          <w:lang w:eastAsia="ar-SA"/>
        </w:rPr>
        <w:t xml:space="preserve">, </w:t>
      </w:r>
      <w:hyperlink r:id="rId8" w:anchor="/document/12124624/entry/391220" w:history="1">
        <w:r w:rsidRPr="008D7F09">
          <w:t>20</w:t>
        </w:r>
      </w:hyperlink>
      <w:r>
        <w:rPr>
          <w:lang w:eastAsia="ar-SA"/>
        </w:rPr>
        <w:t xml:space="preserve"> и 25 статьи 39</w:t>
      </w:r>
      <w:r w:rsidRPr="008D7F09">
        <w:rPr>
          <w:lang w:eastAsia="ar-SA"/>
        </w:rPr>
        <w:t> </w:t>
      </w:r>
      <w:r>
        <w:rPr>
          <w:lang w:eastAsia="ar-SA"/>
        </w:rPr>
        <w:t>.12  Земельного кодекса Российской Федерации заключается договор аренды земельного участка, плату за участие в аукционе.</w:t>
      </w:r>
    </w:p>
    <w:p w:rsidR="00721F6C" w:rsidRPr="00A84D54" w:rsidRDefault="00721F6C" w:rsidP="00721F6C">
      <w:pPr>
        <w:tabs>
          <w:tab w:val="left" w:pos="0"/>
        </w:tabs>
        <w:suppressAutoHyphens/>
        <w:ind w:firstLine="709"/>
        <w:jc w:val="both"/>
        <w:rPr>
          <w:bCs/>
          <w:lang w:eastAsia="ar-SA"/>
        </w:rPr>
      </w:pPr>
      <w:r>
        <w:rPr>
          <w:bCs/>
          <w:lang w:eastAsia="ar-SA"/>
        </w:rPr>
        <w:t>В</w:t>
      </w:r>
      <w:r w:rsidRPr="00A84D54">
        <w:rPr>
          <w:bCs/>
          <w:lang w:eastAsia="ar-SA"/>
        </w:rPr>
        <w:t>ынос границ земельного участка на местности осуществляется арендатор</w:t>
      </w:r>
      <w:r>
        <w:rPr>
          <w:bCs/>
          <w:lang w:eastAsia="ar-SA"/>
        </w:rPr>
        <w:t>ом за свой счет и своими силами.</w:t>
      </w:r>
    </w:p>
    <w:p w:rsidR="00721F6C" w:rsidRDefault="00721F6C" w:rsidP="00721F6C">
      <w:pPr>
        <w:ind w:firstLine="709"/>
        <w:jc w:val="both"/>
        <w:rPr>
          <w:lang w:eastAsia="ar-SA"/>
        </w:rPr>
      </w:pPr>
      <w:r>
        <w:rPr>
          <w:lang w:eastAsia="ar-SA"/>
        </w:rPr>
        <w:t>Д</w:t>
      </w:r>
      <w:r w:rsidRPr="00D34739">
        <w:rPr>
          <w:lang w:eastAsia="ar-SA"/>
        </w:rPr>
        <w:t>оступ на участок свободный, осмотр может быть проведен в любое удобное для претендента время.</w:t>
      </w:r>
    </w:p>
    <w:p w:rsidR="000A1382" w:rsidRDefault="000A1382" w:rsidP="00721F6C">
      <w:pPr>
        <w:ind w:firstLine="567"/>
        <w:jc w:val="both"/>
        <w:rPr>
          <w:color w:val="000000"/>
          <w:sz w:val="20"/>
          <w:szCs w:val="20"/>
        </w:rPr>
      </w:pPr>
      <w:bookmarkStart w:id="0" w:name="_GoBack"/>
      <w:bookmarkEnd w:id="0"/>
    </w:p>
    <w:p w:rsidR="00CE6A20" w:rsidRPr="000A1382" w:rsidRDefault="00721F6C" w:rsidP="000A1382"/>
    <w:sectPr w:rsidR="00CE6A20" w:rsidRPr="000A1382" w:rsidSect="000A1382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EA4"/>
    <w:rsid w:val="000340A5"/>
    <w:rsid w:val="000A1382"/>
    <w:rsid w:val="001A412C"/>
    <w:rsid w:val="00290322"/>
    <w:rsid w:val="00307A09"/>
    <w:rsid w:val="00314B69"/>
    <w:rsid w:val="003A16E2"/>
    <w:rsid w:val="003F4CF1"/>
    <w:rsid w:val="00427807"/>
    <w:rsid w:val="004577E5"/>
    <w:rsid w:val="00577A18"/>
    <w:rsid w:val="00612DC2"/>
    <w:rsid w:val="006C62AB"/>
    <w:rsid w:val="007035EE"/>
    <w:rsid w:val="00721F6C"/>
    <w:rsid w:val="007F6EA4"/>
    <w:rsid w:val="008319F6"/>
    <w:rsid w:val="008354F2"/>
    <w:rsid w:val="00E06132"/>
    <w:rsid w:val="00E773DF"/>
    <w:rsid w:val="00E77FF7"/>
    <w:rsid w:val="00FC6384"/>
    <w:rsid w:val="00FD4291"/>
    <w:rsid w:val="00FE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F4CF1"/>
    <w:pPr>
      <w:spacing w:before="100" w:beforeAutospacing="1" w:after="100" w:afterAutospacing="1"/>
    </w:pPr>
  </w:style>
  <w:style w:type="paragraph" w:customStyle="1" w:styleId="preformat">
    <w:name w:val="preformat"/>
    <w:basedOn w:val="a"/>
    <w:rsid w:val="003F4CF1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6C62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A1382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F4CF1"/>
    <w:pPr>
      <w:spacing w:before="100" w:beforeAutospacing="1" w:after="100" w:afterAutospacing="1"/>
    </w:pPr>
  </w:style>
  <w:style w:type="paragraph" w:customStyle="1" w:styleId="preformat">
    <w:name w:val="preformat"/>
    <w:basedOn w:val="a"/>
    <w:rsid w:val="003F4CF1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6C62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A138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5</Pages>
  <Words>1946</Words>
  <Characters>11095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2024-02-06T06:57:00Z</dcterms:created>
  <dcterms:modified xsi:type="dcterms:W3CDTF">2025-07-31T10:57:00Z</dcterms:modified>
</cp:coreProperties>
</file>